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4C2C" w:rsidRDefault="00714C2C" w:rsidP="00714C2C">
      <w:pPr>
        <w:pStyle w:val="NormaleWeb"/>
        <w:shd w:val="clear" w:color="auto" w:fill="FFFFFF"/>
        <w:rPr>
          <w:rFonts w:ascii="Opensans" w:hAnsi="Opensans"/>
          <w:color w:val="333333"/>
          <w:sz w:val="22"/>
          <w:szCs w:val="22"/>
          <w:lang w:val="en"/>
        </w:rPr>
      </w:pPr>
      <w:bookmarkStart w:id="0" w:name="_GoBack"/>
      <w:bookmarkEnd w:id="0"/>
      <w:r>
        <w:rPr>
          <w:rFonts w:ascii="Opensans" w:hAnsi="Opensans"/>
          <w:color w:val="333333"/>
          <w:sz w:val="22"/>
          <w:szCs w:val="22"/>
          <w:lang w:val="en"/>
        </w:rPr>
        <w:t xml:space="preserve">Admission to the second cycle degree/two year master in Biomedical Engineering requires possession of a bachelor's degree or three-year university diploma, or </w:t>
      </w:r>
      <w:proofErr w:type="spellStart"/>
      <w:r>
        <w:rPr>
          <w:rFonts w:ascii="Opensans" w:hAnsi="Opensans"/>
          <w:color w:val="333333"/>
          <w:sz w:val="22"/>
          <w:szCs w:val="22"/>
          <w:lang w:val="en"/>
        </w:rPr>
        <w:t>anyother</w:t>
      </w:r>
      <w:proofErr w:type="spellEnd"/>
      <w:r>
        <w:rPr>
          <w:rFonts w:ascii="Opensans" w:hAnsi="Opensans"/>
          <w:color w:val="333333"/>
          <w:sz w:val="22"/>
          <w:szCs w:val="22"/>
          <w:lang w:val="en"/>
        </w:rPr>
        <w:t xml:space="preserve"> degree obtained abroad, </w:t>
      </w:r>
      <w:proofErr w:type="spellStart"/>
      <w:r>
        <w:rPr>
          <w:rFonts w:ascii="Opensans" w:hAnsi="Opensans"/>
          <w:color w:val="333333"/>
          <w:sz w:val="22"/>
          <w:szCs w:val="22"/>
          <w:lang w:val="en"/>
        </w:rPr>
        <w:t>recognised</w:t>
      </w:r>
      <w:proofErr w:type="spellEnd"/>
      <w:r>
        <w:rPr>
          <w:rFonts w:ascii="Opensans" w:hAnsi="Opensans"/>
          <w:color w:val="333333"/>
          <w:sz w:val="22"/>
          <w:szCs w:val="22"/>
          <w:lang w:val="en"/>
        </w:rPr>
        <w:t xml:space="preserve"> as suitable.</w:t>
      </w:r>
      <w:r>
        <w:rPr>
          <w:rFonts w:ascii="Opensans" w:hAnsi="Opensans"/>
          <w:color w:val="333333"/>
          <w:sz w:val="22"/>
          <w:szCs w:val="22"/>
          <w:lang w:val="en"/>
        </w:rPr>
        <w:br/>
        <w:t>Additionally, candidates must meet the curricular requirements and pass an assessment test.</w:t>
      </w:r>
      <w:r>
        <w:rPr>
          <w:rFonts w:ascii="Opensans" w:hAnsi="Opensans"/>
          <w:color w:val="333333"/>
          <w:sz w:val="22"/>
          <w:szCs w:val="22"/>
          <w:lang w:val="en"/>
        </w:rPr>
        <w:br/>
      </w:r>
      <w:r>
        <w:rPr>
          <w:rFonts w:ascii="Opensans" w:hAnsi="Opensans"/>
          <w:color w:val="333333"/>
          <w:sz w:val="22"/>
          <w:szCs w:val="22"/>
          <w:lang w:val="en"/>
        </w:rPr>
        <w:br/>
      </w:r>
      <w:r>
        <w:rPr>
          <w:rFonts w:ascii="Opensans" w:hAnsi="Opensans"/>
          <w:b/>
          <w:bCs/>
          <w:color w:val="333333"/>
          <w:sz w:val="22"/>
          <w:szCs w:val="22"/>
          <w:lang w:val="en"/>
        </w:rPr>
        <w:t>Curricular requirements</w:t>
      </w:r>
    </w:p>
    <w:p w:rsidR="00714C2C" w:rsidRDefault="00714C2C" w:rsidP="00714C2C">
      <w:pPr>
        <w:pStyle w:val="NormaleWeb"/>
        <w:shd w:val="clear" w:color="auto" w:fill="FFFFFF"/>
        <w:rPr>
          <w:rFonts w:ascii="Opensans" w:hAnsi="Opensans"/>
          <w:color w:val="333333"/>
          <w:sz w:val="22"/>
          <w:szCs w:val="22"/>
          <w:lang w:val="en"/>
        </w:rPr>
      </w:pPr>
      <w:r>
        <w:rPr>
          <w:rFonts w:ascii="Opensans" w:hAnsi="Opensans"/>
          <w:color w:val="333333"/>
          <w:sz w:val="22"/>
          <w:szCs w:val="22"/>
          <w:lang w:val="en"/>
        </w:rPr>
        <w:t xml:space="preserve">Possession of </w:t>
      </w:r>
      <w:proofErr w:type="spellStart"/>
      <w:r>
        <w:rPr>
          <w:rFonts w:ascii="Opensans" w:hAnsi="Opensans"/>
          <w:color w:val="333333"/>
          <w:sz w:val="22"/>
          <w:szCs w:val="22"/>
          <w:lang w:val="en"/>
        </w:rPr>
        <w:t>adegree</w:t>
      </w:r>
      <w:proofErr w:type="spellEnd"/>
      <w:r>
        <w:rPr>
          <w:rFonts w:ascii="Opensans" w:hAnsi="Opensans"/>
          <w:color w:val="333333"/>
          <w:sz w:val="22"/>
          <w:szCs w:val="22"/>
          <w:lang w:val="en"/>
        </w:rPr>
        <w:t xml:space="preserve"> in one of the Degree classes pursuant to Ministerial Decree 270/04, or Ministerial Decree 509/99, or Law 508/99 and have acquired university credits in the following subject groups:</w:t>
      </w:r>
    </w:p>
    <w:p w:rsidR="00714C2C" w:rsidRDefault="00714C2C" w:rsidP="00714C2C">
      <w:pPr>
        <w:pStyle w:val="NormaleWeb"/>
        <w:shd w:val="clear" w:color="auto" w:fill="FFFFFF"/>
        <w:rPr>
          <w:rFonts w:ascii="Opensans" w:hAnsi="Opensans"/>
          <w:color w:val="333333"/>
          <w:sz w:val="22"/>
          <w:szCs w:val="22"/>
          <w:lang w:val="en"/>
        </w:rPr>
      </w:pPr>
      <w:r>
        <w:rPr>
          <w:rFonts w:ascii="Opensans" w:hAnsi="Opensans"/>
          <w:color w:val="333333"/>
          <w:sz w:val="22"/>
          <w:szCs w:val="22"/>
          <w:lang w:val="en"/>
        </w:rPr>
        <w:t xml:space="preserve">- at least 36 credits in the subject groups belonging to the basic training activities foreseen for class L-8 of the Degrees in Information Engineering and for class L-9 </w:t>
      </w:r>
      <w:proofErr w:type="spellStart"/>
      <w:r>
        <w:rPr>
          <w:rFonts w:ascii="Opensans" w:hAnsi="Opensans"/>
          <w:color w:val="333333"/>
          <w:sz w:val="22"/>
          <w:szCs w:val="22"/>
          <w:lang w:val="en"/>
        </w:rPr>
        <w:t>ofthe</w:t>
      </w:r>
      <w:proofErr w:type="spellEnd"/>
      <w:r>
        <w:rPr>
          <w:rFonts w:ascii="Opensans" w:hAnsi="Opensans"/>
          <w:color w:val="333333"/>
          <w:sz w:val="22"/>
          <w:szCs w:val="22"/>
          <w:lang w:val="en"/>
        </w:rPr>
        <w:t xml:space="preserve"> Degrees in Industrial Engineering in the DM 16-3-2007 determination of university degree classes, published in the Official Gazette July 6, 2007, n.155, S.O.</w:t>
      </w:r>
    </w:p>
    <w:p w:rsidR="00714C2C" w:rsidRDefault="00714C2C" w:rsidP="00714C2C">
      <w:pPr>
        <w:pStyle w:val="NormaleWeb"/>
        <w:shd w:val="clear" w:color="auto" w:fill="FFFFFF"/>
        <w:rPr>
          <w:rFonts w:ascii="Opensans" w:hAnsi="Opensans"/>
          <w:color w:val="333333"/>
          <w:sz w:val="22"/>
          <w:szCs w:val="22"/>
          <w:lang w:val="en"/>
        </w:rPr>
      </w:pPr>
      <w:r>
        <w:rPr>
          <w:rFonts w:ascii="Opensans" w:hAnsi="Opensans"/>
          <w:color w:val="333333"/>
          <w:sz w:val="22"/>
          <w:szCs w:val="22"/>
          <w:lang w:val="en"/>
        </w:rPr>
        <w:t>ING-INF / 01Information technology</w:t>
      </w:r>
      <w:r>
        <w:rPr>
          <w:rFonts w:ascii="Opensans" w:hAnsi="Opensans"/>
          <w:color w:val="333333"/>
          <w:sz w:val="22"/>
          <w:szCs w:val="22"/>
          <w:lang w:val="en"/>
        </w:rPr>
        <w:br/>
        <w:t>ING-INF / 05 Information processing systems</w:t>
      </w:r>
      <w:r>
        <w:rPr>
          <w:rFonts w:ascii="Opensans" w:hAnsi="Opensans"/>
          <w:color w:val="333333"/>
          <w:sz w:val="22"/>
          <w:szCs w:val="22"/>
          <w:lang w:val="en"/>
        </w:rPr>
        <w:br/>
        <w:t>MAT / 02 Algebra</w:t>
      </w:r>
      <w:r>
        <w:rPr>
          <w:rFonts w:ascii="Opensans" w:hAnsi="Opensans"/>
          <w:color w:val="333333"/>
          <w:sz w:val="22"/>
          <w:szCs w:val="22"/>
          <w:lang w:val="en"/>
        </w:rPr>
        <w:br/>
        <w:t>MAT / 03 Geometry</w:t>
      </w:r>
      <w:r>
        <w:rPr>
          <w:rFonts w:ascii="Opensans" w:hAnsi="Opensans"/>
          <w:color w:val="333333"/>
          <w:sz w:val="22"/>
          <w:szCs w:val="22"/>
          <w:lang w:val="en"/>
        </w:rPr>
        <w:br/>
        <w:t>MAT / 05 Mathematical analysis</w:t>
      </w:r>
      <w:r>
        <w:rPr>
          <w:rFonts w:ascii="Opensans" w:hAnsi="Opensans"/>
          <w:color w:val="333333"/>
          <w:sz w:val="22"/>
          <w:szCs w:val="22"/>
          <w:lang w:val="en"/>
        </w:rPr>
        <w:br/>
        <w:t>MAT / 06 Probability and mathematical statistics</w:t>
      </w:r>
      <w:r>
        <w:rPr>
          <w:rFonts w:ascii="Opensans" w:hAnsi="Opensans"/>
          <w:color w:val="333333"/>
          <w:sz w:val="22"/>
          <w:szCs w:val="22"/>
          <w:lang w:val="en"/>
        </w:rPr>
        <w:br/>
        <w:t>MAT / 07 Mathematical physics</w:t>
      </w:r>
      <w:r>
        <w:rPr>
          <w:rFonts w:ascii="Opensans" w:hAnsi="Opensans"/>
          <w:color w:val="333333"/>
          <w:sz w:val="22"/>
          <w:szCs w:val="22"/>
          <w:lang w:val="en"/>
        </w:rPr>
        <w:br/>
        <w:t>MAT / 08 Numerical analysis</w:t>
      </w:r>
      <w:r>
        <w:rPr>
          <w:rFonts w:ascii="Opensans" w:hAnsi="Opensans"/>
          <w:color w:val="333333"/>
          <w:sz w:val="22"/>
          <w:szCs w:val="22"/>
          <w:lang w:val="en"/>
        </w:rPr>
        <w:br/>
        <w:t>MAT / 09 Operations research</w:t>
      </w:r>
      <w:r>
        <w:rPr>
          <w:rFonts w:ascii="Opensans" w:hAnsi="Opensans"/>
          <w:color w:val="333333"/>
          <w:sz w:val="22"/>
          <w:szCs w:val="22"/>
          <w:lang w:val="en"/>
        </w:rPr>
        <w:br/>
        <w:t>SECS-S / 02 Statistics for experimental and technological research</w:t>
      </w:r>
      <w:r>
        <w:rPr>
          <w:rFonts w:ascii="Opensans" w:hAnsi="Opensans"/>
          <w:color w:val="333333"/>
          <w:sz w:val="22"/>
          <w:szCs w:val="22"/>
          <w:lang w:val="en"/>
        </w:rPr>
        <w:br/>
        <w:t>CHIM / 03 General and inorganic chemistry</w:t>
      </w:r>
      <w:r>
        <w:rPr>
          <w:rFonts w:ascii="Opensans" w:hAnsi="Opensans"/>
          <w:color w:val="333333"/>
          <w:sz w:val="22"/>
          <w:szCs w:val="22"/>
          <w:lang w:val="en"/>
        </w:rPr>
        <w:br/>
        <w:t>CHIM / 07 Chemical foundations of technologies</w:t>
      </w:r>
      <w:r>
        <w:rPr>
          <w:rFonts w:ascii="Opensans" w:hAnsi="Opensans"/>
          <w:color w:val="333333"/>
          <w:sz w:val="22"/>
          <w:szCs w:val="22"/>
          <w:lang w:val="en"/>
        </w:rPr>
        <w:br/>
        <w:t>FIS / 01 Experimental physics</w:t>
      </w:r>
      <w:r>
        <w:rPr>
          <w:rFonts w:ascii="Opensans" w:hAnsi="Opensans"/>
          <w:color w:val="333333"/>
          <w:sz w:val="22"/>
          <w:szCs w:val="22"/>
          <w:lang w:val="en"/>
        </w:rPr>
        <w:br/>
        <w:t>FIS / 03 Physics of matter</w:t>
      </w:r>
    </w:p>
    <w:p w:rsidR="00714C2C" w:rsidRDefault="00714C2C" w:rsidP="00714C2C">
      <w:pPr>
        <w:pStyle w:val="NormaleWeb"/>
        <w:shd w:val="clear" w:color="auto" w:fill="FFFFFF"/>
        <w:rPr>
          <w:rFonts w:ascii="Opensans" w:hAnsi="Opensans"/>
          <w:color w:val="333333"/>
          <w:sz w:val="22"/>
          <w:szCs w:val="22"/>
          <w:lang w:val="en"/>
        </w:rPr>
      </w:pPr>
      <w:r>
        <w:rPr>
          <w:rFonts w:ascii="Opensans" w:hAnsi="Opensans"/>
          <w:color w:val="333333"/>
          <w:sz w:val="22"/>
          <w:szCs w:val="22"/>
          <w:lang w:val="en"/>
        </w:rPr>
        <w:t>- at least 24 credits in the following subject groups:</w:t>
      </w:r>
    </w:p>
    <w:p w:rsidR="00714C2C" w:rsidRDefault="00714C2C" w:rsidP="00714C2C">
      <w:pPr>
        <w:pStyle w:val="NormaleWeb"/>
        <w:shd w:val="clear" w:color="auto" w:fill="FFFFFF"/>
        <w:rPr>
          <w:rFonts w:ascii="Opensans" w:hAnsi="Opensans"/>
          <w:color w:val="333333"/>
          <w:sz w:val="22"/>
          <w:szCs w:val="22"/>
          <w:lang w:val="en"/>
        </w:rPr>
      </w:pPr>
      <w:r>
        <w:rPr>
          <w:rFonts w:ascii="Opensans" w:hAnsi="Opensans"/>
          <w:color w:val="333333"/>
          <w:sz w:val="22"/>
          <w:szCs w:val="22"/>
          <w:lang w:val="en"/>
        </w:rPr>
        <w:t>ING-INF / 01Electronics</w:t>
      </w:r>
      <w:r>
        <w:rPr>
          <w:rFonts w:ascii="Opensans" w:hAnsi="Opensans"/>
          <w:color w:val="333333"/>
          <w:sz w:val="22"/>
          <w:szCs w:val="22"/>
          <w:lang w:val="en"/>
        </w:rPr>
        <w:br/>
        <w:t>ING-INF / 02 Electromagnetic fields</w:t>
      </w:r>
      <w:r>
        <w:rPr>
          <w:rFonts w:ascii="Opensans" w:hAnsi="Opensans"/>
          <w:color w:val="333333"/>
          <w:sz w:val="22"/>
          <w:szCs w:val="22"/>
          <w:lang w:val="en"/>
        </w:rPr>
        <w:br/>
        <w:t>ING-INF / 03 Telecommunications</w:t>
      </w:r>
      <w:r>
        <w:rPr>
          <w:rFonts w:ascii="Opensans" w:hAnsi="Opensans"/>
          <w:color w:val="333333"/>
          <w:sz w:val="22"/>
          <w:szCs w:val="22"/>
          <w:lang w:val="en"/>
        </w:rPr>
        <w:br/>
        <w:t>ING-INF / 04 Automatic</w:t>
      </w:r>
      <w:r>
        <w:rPr>
          <w:rFonts w:ascii="Opensans" w:hAnsi="Opensans"/>
          <w:color w:val="333333"/>
          <w:sz w:val="22"/>
          <w:szCs w:val="22"/>
          <w:lang w:val="en"/>
        </w:rPr>
        <w:br/>
        <w:t>ING-INF / 05 Information processing systems</w:t>
      </w:r>
      <w:r>
        <w:rPr>
          <w:rFonts w:ascii="Opensans" w:hAnsi="Opensans"/>
          <w:color w:val="333333"/>
          <w:sz w:val="22"/>
          <w:szCs w:val="22"/>
          <w:lang w:val="en"/>
        </w:rPr>
        <w:br/>
        <w:t>ING-INF / 06 Electronic and Computer Bioengineering</w:t>
      </w:r>
    </w:p>
    <w:p w:rsidR="00714C2C" w:rsidRDefault="00714C2C" w:rsidP="00714C2C">
      <w:pPr>
        <w:pStyle w:val="NormaleWeb"/>
        <w:shd w:val="clear" w:color="auto" w:fill="FFFFFF"/>
        <w:rPr>
          <w:rFonts w:ascii="Opensans" w:hAnsi="Opensans"/>
          <w:color w:val="333333"/>
          <w:sz w:val="22"/>
          <w:szCs w:val="22"/>
          <w:lang w:val="en"/>
        </w:rPr>
      </w:pPr>
      <w:r>
        <w:rPr>
          <w:rFonts w:ascii="Opensans" w:hAnsi="Opensans"/>
          <w:color w:val="333333"/>
          <w:sz w:val="22"/>
          <w:szCs w:val="22"/>
          <w:lang w:val="en"/>
        </w:rPr>
        <w:t xml:space="preserve">- at least 6 </w:t>
      </w:r>
      <w:proofErr w:type="spellStart"/>
      <w:r>
        <w:rPr>
          <w:rFonts w:ascii="Opensans" w:hAnsi="Opensans"/>
          <w:color w:val="333333"/>
          <w:sz w:val="22"/>
          <w:szCs w:val="22"/>
          <w:lang w:val="en"/>
        </w:rPr>
        <w:t>creditsin</w:t>
      </w:r>
      <w:proofErr w:type="spellEnd"/>
      <w:r>
        <w:rPr>
          <w:rFonts w:ascii="Opensans" w:hAnsi="Opensans"/>
          <w:color w:val="333333"/>
          <w:sz w:val="22"/>
          <w:szCs w:val="22"/>
          <w:lang w:val="en"/>
        </w:rPr>
        <w:t xml:space="preserve"> the following subject groups:</w:t>
      </w:r>
    </w:p>
    <w:p w:rsidR="00714C2C" w:rsidRDefault="00714C2C" w:rsidP="00714C2C">
      <w:pPr>
        <w:pStyle w:val="NormaleWeb"/>
        <w:shd w:val="clear" w:color="auto" w:fill="FFFFFF"/>
        <w:rPr>
          <w:rFonts w:ascii="Opensans" w:hAnsi="Opensans"/>
          <w:color w:val="333333"/>
          <w:sz w:val="22"/>
          <w:szCs w:val="22"/>
          <w:lang w:val="en"/>
        </w:rPr>
      </w:pPr>
      <w:r>
        <w:rPr>
          <w:rFonts w:ascii="Opensans" w:hAnsi="Opensans"/>
          <w:color w:val="333333"/>
          <w:sz w:val="22"/>
          <w:szCs w:val="22"/>
          <w:lang w:val="en"/>
        </w:rPr>
        <w:t>ICAR / 08 Construction science</w:t>
      </w:r>
      <w:r>
        <w:rPr>
          <w:rFonts w:ascii="Opensans" w:hAnsi="Opensans"/>
          <w:color w:val="333333"/>
          <w:sz w:val="22"/>
          <w:szCs w:val="22"/>
          <w:lang w:val="en"/>
        </w:rPr>
        <w:br/>
        <w:t xml:space="preserve">ING-IND / 06 </w:t>
      </w:r>
      <w:proofErr w:type="spellStart"/>
      <w:r>
        <w:rPr>
          <w:rFonts w:ascii="Opensans" w:hAnsi="Opensans"/>
          <w:color w:val="333333"/>
          <w:sz w:val="22"/>
          <w:szCs w:val="22"/>
          <w:lang w:val="en"/>
        </w:rPr>
        <w:t>Fluidodynamics</w:t>
      </w:r>
      <w:proofErr w:type="spellEnd"/>
      <w:r>
        <w:rPr>
          <w:rFonts w:ascii="Opensans" w:hAnsi="Opensans"/>
          <w:color w:val="333333"/>
          <w:sz w:val="22"/>
          <w:szCs w:val="22"/>
          <w:lang w:val="en"/>
        </w:rPr>
        <w:br/>
        <w:t>ING-IND / 10 Industrial technical physics</w:t>
      </w:r>
      <w:r>
        <w:rPr>
          <w:rFonts w:ascii="Opensans" w:hAnsi="Opensans"/>
          <w:color w:val="333333"/>
          <w:sz w:val="22"/>
          <w:szCs w:val="22"/>
          <w:lang w:val="en"/>
        </w:rPr>
        <w:br/>
        <w:t>ING-IND / 11 Environmental technical physics</w:t>
      </w:r>
      <w:r>
        <w:rPr>
          <w:rFonts w:ascii="Opensans" w:hAnsi="Opensans"/>
          <w:color w:val="333333"/>
          <w:sz w:val="22"/>
          <w:szCs w:val="22"/>
          <w:lang w:val="en"/>
        </w:rPr>
        <w:br/>
        <w:t xml:space="preserve">ING-IND / 12 Mechanical and </w:t>
      </w:r>
      <w:proofErr w:type="spellStart"/>
      <w:r>
        <w:rPr>
          <w:rFonts w:ascii="Opensans" w:hAnsi="Opensans"/>
          <w:color w:val="333333"/>
          <w:sz w:val="22"/>
          <w:szCs w:val="22"/>
          <w:lang w:val="en"/>
        </w:rPr>
        <w:t>thermalmeasurements</w:t>
      </w:r>
      <w:proofErr w:type="spellEnd"/>
      <w:r>
        <w:rPr>
          <w:rFonts w:ascii="Opensans" w:hAnsi="Opensans"/>
          <w:color w:val="333333"/>
          <w:sz w:val="22"/>
          <w:szCs w:val="22"/>
          <w:lang w:val="en"/>
        </w:rPr>
        <w:br/>
        <w:t>ING-IND / 13 Mechanics applied to machines</w:t>
      </w:r>
      <w:r>
        <w:rPr>
          <w:rFonts w:ascii="Opensans" w:hAnsi="Opensans"/>
          <w:color w:val="333333"/>
          <w:sz w:val="22"/>
          <w:szCs w:val="22"/>
          <w:lang w:val="en"/>
        </w:rPr>
        <w:br/>
        <w:t>ING-IND / 14 Mechanical design and construction of machines</w:t>
      </w:r>
      <w:r>
        <w:rPr>
          <w:rFonts w:ascii="Opensans" w:hAnsi="Opensans"/>
          <w:color w:val="333333"/>
          <w:sz w:val="22"/>
          <w:szCs w:val="22"/>
          <w:lang w:val="en"/>
        </w:rPr>
        <w:br/>
        <w:t>ING-IND / 22 Science and technology of materials</w:t>
      </w:r>
      <w:r>
        <w:rPr>
          <w:rFonts w:ascii="Opensans" w:hAnsi="Opensans"/>
          <w:color w:val="333333"/>
          <w:sz w:val="22"/>
          <w:szCs w:val="22"/>
          <w:lang w:val="en"/>
        </w:rPr>
        <w:br/>
        <w:t>ING-IND / 31 Electrical engineering</w:t>
      </w:r>
      <w:r>
        <w:rPr>
          <w:rFonts w:ascii="Opensans" w:hAnsi="Opensans"/>
          <w:color w:val="333333"/>
          <w:sz w:val="22"/>
          <w:szCs w:val="22"/>
          <w:lang w:val="en"/>
        </w:rPr>
        <w:br/>
        <w:t>ING-IND / 34 Industrial bioengineering</w:t>
      </w:r>
    </w:p>
    <w:p w:rsidR="00714C2C" w:rsidRDefault="00714C2C" w:rsidP="00714C2C">
      <w:pPr>
        <w:pStyle w:val="NormaleWeb"/>
        <w:shd w:val="clear" w:color="auto" w:fill="FFFFFF"/>
        <w:rPr>
          <w:rFonts w:ascii="Opensans" w:hAnsi="Opensans"/>
          <w:color w:val="333333"/>
          <w:sz w:val="22"/>
          <w:szCs w:val="22"/>
          <w:lang w:val="en"/>
        </w:rPr>
      </w:pPr>
      <w:r>
        <w:rPr>
          <w:rFonts w:ascii="Opensans" w:hAnsi="Opensans"/>
          <w:color w:val="333333"/>
          <w:sz w:val="22"/>
          <w:szCs w:val="22"/>
          <w:lang w:val="en"/>
        </w:rPr>
        <w:t xml:space="preserve">A Commission appointed by the Degree </w:t>
      </w:r>
      <w:proofErr w:type="spellStart"/>
      <w:r>
        <w:rPr>
          <w:rFonts w:ascii="Opensans" w:hAnsi="Opensans"/>
          <w:color w:val="333333"/>
          <w:sz w:val="22"/>
          <w:szCs w:val="22"/>
          <w:lang w:val="en"/>
        </w:rPr>
        <w:t>Programme</w:t>
      </w:r>
      <w:proofErr w:type="spellEnd"/>
      <w:r>
        <w:rPr>
          <w:rFonts w:ascii="Opensans" w:hAnsi="Opensans"/>
          <w:color w:val="333333"/>
          <w:sz w:val="22"/>
          <w:szCs w:val="22"/>
          <w:lang w:val="en"/>
        </w:rPr>
        <w:t xml:space="preserve"> Board will verify afore mentioned curricular requirements in the case of a degree qualification obtained in Italy according to previous educational systems or achieved abroad and recognized as suitable.</w:t>
      </w:r>
    </w:p>
    <w:p w:rsidR="00714C2C" w:rsidRDefault="00714C2C" w:rsidP="00714C2C">
      <w:pPr>
        <w:pStyle w:val="NormaleWeb"/>
        <w:shd w:val="clear" w:color="auto" w:fill="FFFFFF"/>
        <w:rPr>
          <w:rFonts w:ascii="Opensans" w:hAnsi="Opensans"/>
          <w:color w:val="333333"/>
          <w:sz w:val="22"/>
          <w:szCs w:val="22"/>
          <w:lang w:val="en"/>
        </w:rPr>
      </w:pPr>
      <w:r>
        <w:rPr>
          <w:rFonts w:ascii="Opensans" w:hAnsi="Opensans"/>
          <w:b/>
          <w:bCs/>
          <w:color w:val="333333"/>
          <w:sz w:val="22"/>
          <w:szCs w:val="22"/>
          <w:lang w:val="en"/>
        </w:rPr>
        <w:lastRenderedPageBreak/>
        <w:t>Assessment of personal knowledge and skills</w:t>
      </w:r>
    </w:p>
    <w:p w:rsidR="00972121" w:rsidRPr="00972121" w:rsidRDefault="00714C2C" w:rsidP="00972121">
      <w:pPr>
        <w:pStyle w:val="NormaleWeb"/>
        <w:shd w:val="clear" w:color="auto" w:fill="FFFFFF"/>
        <w:spacing w:before="0" w:beforeAutospacing="0" w:after="0" w:afterAutospacing="0"/>
        <w:rPr>
          <w:rFonts w:ascii="Opensans" w:hAnsi="Opensans"/>
          <w:color w:val="333333"/>
          <w:sz w:val="22"/>
          <w:szCs w:val="22"/>
          <w:lang w:val="en"/>
        </w:rPr>
      </w:pPr>
      <w:r>
        <w:rPr>
          <w:rFonts w:ascii="Opensans" w:hAnsi="Opensans"/>
          <w:color w:val="333333"/>
          <w:sz w:val="22"/>
          <w:szCs w:val="22"/>
          <w:lang w:val="en"/>
        </w:rPr>
        <w:t>Admission to the</w:t>
      </w:r>
      <w:r w:rsidR="00972121">
        <w:rPr>
          <w:rFonts w:ascii="Opensans" w:hAnsi="Opensans"/>
          <w:color w:val="333333"/>
          <w:sz w:val="22"/>
          <w:szCs w:val="22"/>
          <w:lang w:val="en"/>
        </w:rPr>
        <w:t xml:space="preserve"> </w:t>
      </w:r>
      <w:r>
        <w:rPr>
          <w:rFonts w:ascii="Opensans" w:hAnsi="Opensans"/>
          <w:color w:val="333333"/>
          <w:sz w:val="22"/>
          <w:szCs w:val="22"/>
          <w:lang w:val="en"/>
        </w:rPr>
        <w:t xml:space="preserve">second cycle degree/two-year master </w:t>
      </w:r>
      <w:proofErr w:type="spellStart"/>
      <w:r>
        <w:rPr>
          <w:rFonts w:ascii="Opensans" w:hAnsi="Opensans"/>
          <w:color w:val="333333"/>
          <w:sz w:val="22"/>
          <w:szCs w:val="22"/>
          <w:lang w:val="en"/>
        </w:rPr>
        <w:t>programme</w:t>
      </w:r>
      <w:proofErr w:type="spellEnd"/>
      <w:r>
        <w:rPr>
          <w:rFonts w:ascii="Opensans" w:hAnsi="Opensans"/>
          <w:color w:val="333333"/>
          <w:sz w:val="22"/>
          <w:szCs w:val="22"/>
          <w:lang w:val="en"/>
        </w:rPr>
        <w:t xml:space="preserve"> requires candidates to pass an</w:t>
      </w:r>
      <w:r w:rsidR="00972121">
        <w:rPr>
          <w:rFonts w:ascii="Opensans" w:hAnsi="Opensans"/>
          <w:color w:val="333333"/>
          <w:sz w:val="22"/>
          <w:szCs w:val="22"/>
          <w:lang w:val="en"/>
        </w:rPr>
        <w:t xml:space="preserve"> </w:t>
      </w:r>
      <w:r>
        <w:rPr>
          <w:rFonts w:ascii="Opensans" w:hAnsi="Opensans"/>
          <w:color w:val="333333"/>
          <w:sz w:val="22"/>
          <w:szCs w:val="22"/>
          <w:lang w:val="en"/>
        </w:rPr>
        <w:t>assessment of personal knowledge and skills</w:t>
      </w:r>
      <w:r w:rsidR="00972121">
        <w:rPr>
          <w:rFonts w:ascii="Opensans" w:hAnsi="Opensans"/>
          <w:color w:val="333333"/>
          <w:sz w:val="22"/>
          <w:szCs w:val="22"/>
          <w:lang w:val="en"/>
        </w:rPr>
        <w:t>.</w:t>
      </w:r>
      <w:r>
        <w:rPr>
          <w:rFonts w:ascii="Opensans" w:hAnsi="Opensans"/>
          <w:color w:val="333333"/>
          <w:sz w:val="22"/>
          <w:szCs w:val="22"/>
          <w:lang w:val="en"/>
        </w:rPr>
        <w:t xml:space="preserve"> </w:t>
      </w:r>
    </w:p>
    <w:p w:rsidR="00972121" w:rsidRPr="00972121" w:rsidRDefault="00972121" w:rsidP="00972121">
      <w:pPr>
        <w:pStyle w:val="NormaleWeb"/>
        <w:shd w:val="clear" w:color="auto" w:fill="FFFFFF"/>
        <w:spacing w:before="0" w:beforeAutospacing="0" w:after="0" w:afterAutospacing="0"/>
        <w:rPr>
          <w:rFonts w:ascii="Opensans" w:hAnsi="Opensans"/>
          <w:color w:val="333333"/>
          <w:sz w:val="22"/>
          <w:szCs w:val="22"/>
          <w:lang w:val="en"/>
        </w:rPr>
      </w:pPr>
      <w:r w:rsidRPr="00972121">
        <w:rPr>
          <w:rFonts w:ascii="Opensans" w:hAnsi="Opensans"/>
          <w:color w:val="333333"/>
          <w:sz w:val="22"/>
          <w:szCs w:val="22"/>
          <w:lang w:val="en"/>
        </w:rPr>
        <w:t>The assessment of personal knowledge is considered complete, for those in possession of an Italian degree, in the presence of at least one of the following criteria:</w:t>
      </w:r>
    </w:p>
    <w:p w:rsidR="00972121" w:rsidRPr="00972121" w:rsidRDefault="00972121" w:rsidP="00972121">
      <w:pPr>
        <w:pStyle w:val="NormaleWeb"/>
        <w:shd w:val="clear" w:color="auto" w:fill="FFFFFF"/>
        <w:spacing w:before="0" w:beforeAutospacing="0" w:after="0" w:afterAutospacing="0"/>
        <w:rPr>
          <w:rFonts w:ascii="Opensans" w:hAnsi="Opensans"/>
          <w:color w:val="333333"/>
          <w:sz w:val="22"/>
          <w:szCs w:val="22"/>
          <w:lang w:val="en"/>
        </w:rPr>
      </w:pPr>
      <w:proofErr w:type="spellStart"/>
      <w:r w:rsidRPr="00972121">
        <w:rPr>
          <w:rFonts w:ascii="Opensans" w:hAnsi="Opensans"/>
          <w:color w:val="333333"/>
          <w:sz w:val="22"/>
          <w:szCs w:val="22"/>
          <w:lang w:val="en"/>
        </w:rPr>
        <w:t>i</w:t>
      </w:r>
      <w:proofErr w:type="spellEnd"/>
      <w:r w:rsidRPr="00972121">
        <w:rPr>
          <w:rFonts w:ascii="Opensans" w:hAnsi="Opensans"/>
          <w:color w:val="333333"/>
          <w:sz w:val="22"/>
          <w:szCs w:val="22"/>
          <w:lang w:val="en"/>
        </w:rPr>
        <w:t>) Degree or University Diploma according to the previous regulations, with at least 24 CFU in the scientific-disciplinary sectors ING-INF/06 and ING-IND/34 and a Degree/Diploma mark equal to at least 85/110 or equivalent at the expiry date of the intake for the academic year of enrolment;</w:t>
      </w:r>
    </w:p>
    <w:p w:rsidR="00972121" w:rsidRPr="00972121" w:rsidRDefault="00972121" w:rsidP="00972121">
      <w:pPr>
        <w:pStyle w:val="NormaleWeb"/>
        <w:shd w:val="clear" w:color="auto" w:fill="FFFFFF"/>
        <w:spacing w:before="0" w:beforeAutospacing="0" w:after="0" w:afterAutospacing="0"/>
        <w:rPr>
          <w:rFonts w:ascii="Opensans" w:hAnsi="Opensans"/>
          <w:color w:val="333333"/>
          <w:sz w:val="22"/>
          <w:szCs w:val="22"/>
          <w:lang w:val="en"/>
        </w:rPr>
      </w:pPr>
      <w:r w:rsidRPr="00972121">
        <w:rPr>
          <w:rFonts w:ascii="Opensans" w:hAnsi="Opensans"/>
          <w:color w:val="333333"/>
          <w:sz w:val="22"/>
          <w:szCs w:val="22"/>
          <w:lang w:val="en"/>
        </w:rPr>
        <w:t>ii) Degree or University Diploma according to the previous regulations, with a minimum Degree/Diploma grade equal to at least 95/110 or equivalent at the expiry date of the intake for the academic year of enrolment.</w:t>
      </w:r>
    </w:p>
    <w:p w:rsidR="00972121" w:rsidRPr="00972121" w:rsidRDefault="00972121" w:rsidP="00972121">
      <w:pPr>
        <w:pStyle w:val="NormaleWeb"/>
        <w:shd w:val="clear" w:color="auto" w:fill="FFFFFF"/>
        <w:spacing w:before="0" w:beforeAutospacing="0" w:after="0" w:afterAutospacing="0"/>
        <w:rPr>
          <w:rFonts w:ascii="Opensans" w:hAnsi="Opensans"/>
          <w:color w:val="333333"/>
          <w:sz w:val="22"/>
          <w:szCs w:val="22"/>
          <w:lang w:val="en"/>
        </w:rPr>
      </w:pPr>
      <w:r w:rsidRPr="00972121">
        <w:rPr>
          <w:rFonts w:ascii="Opensans" w:hAnsi="Opensans"/>
          <w:color w:val="333333"/>
          <w:sz w:val="22"/>
          <w:szCs w:val="22"/>
          <w:lang w:val="en"/>
        </w:rPr>
        <w:t>For those not yet in possession of an Italian degree, the verification of personal preparation is considered complete in the presence of at least one of the following criteria:</w:t>
      </w:r>
    </w:p>
    <w:p w:rsidR="00972121" w:rsidRPr="00972121" w:rsidRDefault="00972121" w:rsidP="00972121">
      <w:pPr>
        <w:pStyle w:val="NormaleWeb"/>
        <w:shd w:val="clear" w:color="auto" w:fill="FFFFFF"/>
        <w:spacing w:before="0" w:beforeAutospacing="0" w:after="0" w:afterAutospacing="0"/>
        <w:rPr>
          <w:rFonts w:ascii="Opensans" w:hAnsi="Opensans"/>
          <w:color w:val="333333"/>
          <w:sz w:val="22"/>
          <w:szCs w:val="22"/>
          <w:lang w:val="en"/>
        </w:rPr>
      </w:pPr>
      <w:proofErr w:type="spellStart"/>
      <w:r w:rsidRPr="00972121">
        <w:rPr>
          <w:rFonts w:ascii="Opensans" w:hAnsi="Opensans"/>
          <w:color w:val="333333"/>
          <w:sz w:val="22"/>
          <w:szCs w:val="22"/>
          <w:lang w:val="en"/>
        </w:rPr>
        <w:t>i</w:t>
      </w:r>
      <w:proofErr w:type="spellEnd"/>
      <w:r w:rsidRPr="00972121">
        <w:rPr>
          <w:rFonts w:ascii="Opensans" w:hAnsi="Opensans"/>
          <w:color w:val="333333"/>
          <w:sz w:val="22"/>
          <w:szCs w:val="22"/>
          <w:lang w:val="en"/>
        </w:rPr>
        <w:t>) Having passed exams with an amount of credits at least 162 CFU and a weighted average of at least 23/30, and at least 24 CFU in the SSD ING-INF/06 and ING-IND/34;</w:t>
      </w:r>
    </w:p>
    <w:p w:rsidR="00972121" w:rsidRPr="00972121" w:rsidRDefault="00972121" w:rsidP="00972121">
      <w:pPr>
        <w:pStyle w:val="NormaleWeb"/>
        <w:shd w:val="clear" w:color="auto" w:fill="FFFFFF"/>
        <w:spacing w:before="0" w:beforeAutospacing="0" w:after="0" w:afterAutospacing="0"/>
        <w:rPr>
          <w:rFonts w:ascii="Opensans" w:hAnsi="Opensans"/>
          <w:color w:val="333333"/>
          <w:sz w:val="22"/>
          <w:szCs w:val="22"/>
          <w:lang w:val="en"/>
        </w:rPr>
      </w:pPr>
      <w:r w:rsidRPr="00972121">
        <w:rPr>
          <w:rFonts w:ascii="Opensans" w:hAnsi="Opensans"/>
          <w:color w:val="333333"/>
          <w:sz w:val="22"/>
          <w:szCs w:val="22"/>
          <w:lang w:val="en"/>
        </w:rPr>
        <w:t>ii) Having passed exams with an amount of credits at least 162 CFU and a weighted average of at least 26/30.</w:t>
      </w:r>
    </w:p>
    <w:p w:rsidR="00972121" w:rsidRPr="00972121" w:rsidRDefault="00972121" w:rsidP="00972121">
      <w:pPr>
        <w:pStyle w:val="NormaleWeb"/>
        <w:shd w:val="clear" w:color="auto" w:fill="FFFFFF"/>
        <w:rPr>
          <w:rFonts w:ascii="Opensans" w:hAnsi="Opensans"/>
          <w:color w:val="333333"/>
          <w:sz w:val="22"/>
          <w:szCs w:val="22"/>
          <w:lang w:val="en"/>
        </w:rPr>
      </w:pPr>
      <w:r w:rsidRPr="00972121">
        <w:rPr>
          <w:rFonts w:ascii="Opensans" w:hAnsi="Opensans"/>
          <w:color w:val="333333"/>
          <w:sz w:val="22"/>
          <w:szCs w:val="22"/>
          <w:lang w:val="en"/>
        </w:rPr>
        <w:t>The criteria described in this paragraph also apply to those who are in po</w:t>
      </w:r>
      <w:r>
        <w:rPr>
          <w:rFonts w:ascii="Opensans" w:hAnsi="Opensans"/>
          <w:color w:val="333333"/>
          <w:sz w:val="22"/>
          <w:szCs w:val="22"/>
          <w:lang w:val="en"/>
        </w:rPr>
        <w:t>ssession of a university level q</w:t>
      </w:r>
      <w:r w:rsidRPr="00972121">
        <w:rPr>
          <w:rFonts w:ascii="Opensans" w:hAnsi="Opensans"/>
          <w:color w:val="333333"/>
          <w:sz w:val="22"/>
          <w:szCs w:val="22"/>
          <w:lang w:val="en"/>
        </w:rPr>
        <w:t>ualification obtained abroad, deemed suitable by the Degree Program Board, for which the conversion of the degree grade according to the Italian system, the identification of the scientific-disciplinary sectors and the number of credits obtained in each sector are possible. If conversion and/or identification are not possible, the Commission appointed by the Degree Program Council proceeds to the evaluation of the career based on the documentation presented by the candidate.</w:t>
      </w:r>
    </w:p>
    <w:p w:rsidR="00972121" w:rsidRPr="00972121" w:rsidRDefault="00972121" w:rsidP="00505EDD">
      <w:pPr>
        <w:pStyle w:val="NormaleWeb"/>
        <w:shd w:val="clear" w:color="auto" w:fill="FFFFFF"/>
        <w:spacing w:before="0" w:beforeAutospacing="0" w:after="0" w:afterAutospacing="0"/>
        <w:rPr>
          <w:rFonts w:ascii="Opensans" w:hAnsi="Opensans"/>
          <w:color w:val="333333"/>
          <w:sz w:val="22"/>
          <w:szCs w:val="22"/>
          <w:lang w:val="en"/>
        </w:rPr>
      </w:pPr>
      <w:r w:rsidRPr="00972121">
        <w:rPr>
          <w:rFonts w:ascii="Opensans" w:hAnsi="Opensans"/>
          <w:color w:val="333333"/>
          <w:sz w:val="22"/>
          <w:szCs w:val="22"/>
          <w:lang w:val="en"/>
        </w:rPr>
        <w:t>If the above conditions are not met (in whole or in part), the verification of the adequacy of the personal preparation is to be considered as not accepted.</w:t>
      </w:r>
    </w:p>
    <w:p w:rsidR="00972121" w:rsidRDefault="00972121" w:rsidP="00505EDD">
      <w:pPr>
        <w:pStyle w:val="NormaleWeb"/>
        <w:shd w:val="clear" w:color="auto" w:fill="FFFFFF"/>
        <w:spacing w:before="0" w:beforeAutospacing="0" w:after="0" w:afterAutospacing="0"/>
        <w:rPr>
          <w:rFonts w:ascii="Opensans" w:hAnsi="Opensans"/>
          <w:color w:val="333333"/>
          <w:sz w:val="22"/>
          <w:szCs w:val="22"/>
          <w:lang w:val="en"/>
        </w:rPr>
      </w:pPr>
      <w:r w:rsidRPr="00972121">
        <w:rPr>
          <w:rFonts w:ascii="Opensans" w:hAnsi="Opensans"/>
          <w:color w:val="333333"/>
          <w:sz w:val="22"/>
          <w:szCs w:val="22"/>
          <w:lang w:val="en"/>
        </w:rPr>
        <w:t>In the case of the presence of real elements of exceptionality, evidenced by specific documentation, the Commission appointed by the Degree Program Board will be able to define an alternative assessment path, always based on the analysis of the degree grade and of the previous career, after which it will formulate an unquestionable judgment regarding admission to the course of study.</w:t>
      </w:r>
    </w:p>
    <w:p w:rsidR="00505EDD" w:rsidRPr="00972121" w:rsidRDefault="00505EDD" w:rsidP="00505EDD">
      <w:pPr>
        <w:pStyle w:val="NormaleWeb"/>
        <w:shd w:val="clear" w:color="auto" w:fill="FFFFFF"/>
        <w:spacing w:before="0" w:beforeAutospacing="0" w:after="0" w:afterAutospacing="0"/>
        <w:rPr>
          <w:rFonts w:ascii="Opensans" w:hAnsi="Opensans"/>
          <w:color w:val="333333"/>
          <w:sz w:val="22"/>
          <w:szCs w:val="22"/>
          <w:lang w:val="en"/>
        </w:rPr>
      </w:pPr>
    </w:p>
    <w:p w:rsidR="00972121" w:rsidRPr="00972121" w:rsidRDefault="00972121" w:rsidP="00972121">
      <w:pPr>
        <w:pStyle w:val="NormaleWeb"/>
        <w:shd w:val="clear" w:color="auto" w:fill="FFFFFF"/>
        <w:spacing w:before="0" w:beforeAutospacing="0" w:after="0" w:afterAutospacing="0"/>
        <w:rPr>
          <w:rFonts w:ascii="Opensans" w:hAnsi="Opensans"/>
          <w:b/>
          <w:bCs/>
          <w:color w:val="333333"/>
          <w:sz w:val="22"/>
          <w:szCs w:val="22"/>
          <w:lang w:val="en"/>
        </w:rPr>
      </w:pPr>
      <w:r>
        <w:rPr>
          <w:rFonts w:ascii="Opensans" w:hAnsi="Opensans"/>
          <w:b/>
          <w:bCs/>
          <w:color w:val="333333"/>
          <w:sz w:val="22"/>
          <w:szCs w:val="22"/>
          <w:lang w:val="en"/>
        </w:rPr>
        <w:t>A</w:t>
      </w:r>
      <w:r w:rsidRPr="00972121">
        <w:rPr>
          <w:rFonts w:ascii="Opensans" w:hAnsi="Opensans"/>
          <w:b/>
          <w:bCs/>
          <w:color w:val="333333"/>
          <w:sz w:val="22"/>
          <w:szCs w:val="22"/>
          <w:lang w:val="en"/>
        </w:rPr>
        <w:t xml:space="preserve">ssessment of the </w:t>
      </w:r>
      <w:proofErr w:type="spellStart"/>
      <w:r w:rsidRPr="00972121">
        <w:rPr>
          <w:rFonts w:ascii="Opensans" w:hAnsi="Opensans"/>
          <w:b/>
          <w:bCs/>
          <w:color w:val="333333"/>
          <w:sz w:val="22"/>
          <w:szCs w:val="22"/>
          <w:lang w:val="en"/>
        </w:rPr>
        <w:t>english</w:t>
      </w:r>
      <w:proofErr w:type="spellEnd"/>
      <w:r w:rsidRPr="00972121">
        <w:rPr>
          <w:rFonts w:ascii="Opensans" w:hAnsi="Opensans"/>
          <w:b/>
          <w:bCs/>
          <w:color w:val="333333"/>
          <w:sz w:val="22"/>
          <w:szCs w:val="22"/>
          <w:lang w:val="en"/>
        </w:rPr>
        <w:t xml:space="preserve"> language knowledge</w:t>
      </w:r>
    </w:p>
    <w:p w:rsidR="00972121" w:rsidRPr="00972121" w:rsidRDefault="00972121" w:rsidP="00972121">
      <w:pPr>
        <w:pStyle w:val="NormaleWeb"/>
        <w:shd w:val="clear" w:color="auto" w:fill="FFFFFF"/>
        <w:spacing w:before="0" w:beforeAutospacing="0" w:after="0" w:afterAutospacing="0"/>
        <w:rPr>
          <w:rFonts w:ascii="Opensans" w:hAnsi="Opensans"/>
          <w:color w:val="333333"/>
          <w:sz w:val="22"/>
          <w:szCs w:val="22"/>
          <w:lang w:val="en"/>
        </w:rPr>
      </w:pPr>
      <w:r w:rsidRPr="00972121">
        <w:rPr>
          <w:rFonts w:ascii="Opensans" w:hAnsi="Opensans"/>
          <w:color w:val="333333"/>
          <w:sz w:val="22"/>
          <w:szCs w:val="22"/>
          <w:lang w:val="en"/>
        </w:rPr>
        <w:t xml:space="preserve">Regarding language skills, the adequacy of personal preparation for admission to the international course requires knowledge of English at least at level B-2 (with reference to the CEFR). Assessment of language knowledge and skills is considered to be fulfilled for students in possession of linguistic certification (such as TOEFL, IELTS, Cambridge </w:t>
      </w:r>
      <w:proofErr w:type="spellStart"/>
      <w:proofErr w:type="gramStart"/>
      <w:r w:rsidRPr="00972121">
        <w:rPr>
          <w:rFonts w:ascii="Opensans" w:hAnsi="Opensans"/>
          <w:color w:val="333333"/>
          <w:sz w:val="22"/>
          <w:szCs w:val="22"/>
          <w:lang w:val="en"/>
        </w:rPr>
        <w:t>Esol</w:t>
      </w:r>
      <w:proofErr w:type="spellEnd"/>
      <w:r w:rsidRPr="00972121">
        <w:rPr>
          <w:rFonts w:ascii="Opensans" w:hAnsi="Opensans"/>
          <w:color w:val="333333"/>
          <w:sz w:val="22"/>
          <w:szCs w:val="22"/>
          <w:lang w:val="en"/>
        </w:rPr>
        <w:t>, ..</w:t>
      </w:r>
      <w:proofErr w:type="gramEnd"/>
      <w:r w:rsidRPr="00972121">
        <w:rPr>
          <w:rFonts w:ascii="Opensans" w:hAnsi="Opensans"/>
          <w:color w:val="333333"/>
          <w:sz w:val="22"/>
          <w:szCs w:val="22"/>
          <w:lang w:val="en"/>
        </w:rPr>
        <w:t>) corresponding to level B-2 or higher.</w:t>
      </w:r>
    </w:p>
    <w:p w:rsidR="00972121" w:rsidRPr="00972121" w:rsidRDefault="00972121" w:rsidP="00972121">
      <w:pPr>
        <w:pStyle w:val="NormaleWeb"/>
        <w:shd w:val="clear" w:color="auto" w:fill="FFFFFF"/>
        <w:rPr>
          <w:rFonts w:ascii="Opensans" w:hAnsi="Opensans"/>
          <w:color w:val="333333"/>
          <w:sz w:val="22"/>
          <w:szCs w:val="22"/>
          <w:lang w:val="en"/>
        </w:rPr>
      </w:pPr>
    </w:p>
    <w:p w:rsidR="005B5F40" w:rsidRPr="00972121" w:rsidRDefault="005B5F40" w:rsidP="00972121">
      <w:pPr>
        <w:pStyle w:val="NormaleWeb"/>
        <w:shd w:val="clear" w:color="auto" w:fill="FFFFFF"/>
        <w:rPr>
          <w:rFonts w:ascii="Opensans" w:hAnsi="Opensans"/>
          <w:color w:val="333333"/>
          <w:sz w:val="22"/>
          <w:szCs w:val="22"/>
          <w:lang w:val="en"/>
        </w:rPr>
      </w:pPr>
    </w:p>
    <w:sectPr w:rsidR="005B5F40" w:rsidRPr="0097212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san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95E5D"/>
    <w:multiLevelType w:val="multilevel"/>
    <w:tmpl w:val="C90C4B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2060"/>
    <w:rsid w:val="003C4033"/>
    <w:rsid w:val="00417804"/>
    <w:rsid w:val="00456553"/>
    <w:rsid w:val="00505EDD"/>
    <w:rsid w:val="005368D8"/>
    <w:rsid w:val="005B5F40"/>
    <w:rsid w:val="00714C2C"/>
    <w:rsid w:val="00722060"/>
    <w:rsid w:val="00972121"/>
    <w:rsid w:val="009A7E1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4C3697-E057-41B2-AEAE-E31B3A142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722060"/>
    <w:rPr>
      <w:b/>
      <w:bCs/>
    </w:rPr>
  </w:style>
  <w:style w:type="character" w:styleId="Collegamentoipertestuale">
    <w:name w:val="Hyperlink"/>
    <w:basedOn w:val="Carpredefinitoparagrafo"/>
    <w:uiPriority w:val="99"/>
    <w:semiHidden/>
    <w:unhideWhenUsed/>
    <w:rsid w:val="00722060"/>
    <w:rPr>
      <w:color w:val="0000FF"/>
      <w:u w:val="single"/>
    </w:rPr>
  </w:style>
  <w:style w:type="paragraph" w:styleId="NormaleWeb">
    <w:name w:val="Normal (Web)"/>
    <w:basedOn w:val="Normale"/>
    <w:uiPriority w:val="99"/>
    <w:unhideWhenUsed/>
    <w:rsid w:val="00722060"/>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readmore-reduced2">
    <w:name w:val="readmore-reduced2"/>
    <w:basedOn w:val="Carpredefinitoparagrafo"/>
    <w:rsid w:val="00714C2C"/>
    <w:rPr>
      <w:vanish w:val="0"/>
      <w:webHidden w:val="0"/>
      <w:color w:val="333333"/>
      <w:specVanish w:val="0"/>
    </w:rPr>
  </w:style>
  <w:style w:type="paragraph" w:styleId="PreformattatoHTML">
    <w:name w:val="HTML Preformatted"/>
    <w:basedOn w:val="Normale"/>
    <w:link w:val="PreformattatoHTMLCarattere"/>
    <w:uiPriority w:val="99"/>
    <w:semiHidden/>
    <w:unhideWhenUsed/>
    <w:rsid w:val="009721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semiHidden/>
    <w:rsid w:val="00972121"/>
    <w:rPr>
      <w:rFonts w:ascii="Courier New" w:eastAsia="Times New Roman" w:hAnsi="Courier New" w:cs="Courier New"/>
      <w:sz w:val="20"/>
      <w:szCs w:val="20"/>
      <w:lang w:eastAsia="it-IT"/>
    </w:rPr>
  </w:style>
  <w:style w:type="paragraph" w:styleId="Testofumetto">
    <w:name w:val="Balloon Text"/>
    <w:basedOn w:val="Normale"/>
    <w:link w:val="TestofumettoCarattere"/>
    <w:uiPriority w:val="99"/>
    <w:semiHidden/>
    <w:unhideWhenUsed/>
    <w:rsid w:val="00972121"/>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721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3477185">
      <w:bodyDiv w:val="1"/>
      <w:marLeft w:val="0"/>
      <w:marRight w:val="0"/>
      <w:marTop w:val="0"/>
      <w:marBottom w:val="0"/>
      <w:divBdr>
        <w:top w:val="none" w:sz="0" w:space="0" w:color="auto"/>
        <w:left w:val="none" w:sz="0" w:space="0" w:color="auto"/>
        <w:bottom w:val="none" w:sz="0" w:space="0" w:color="auto"/>
        <w:right w:val="none" w:sz="0" w:space="0" w:color="auto"/>
      </w:divBdr>
    </w:div>
    <w:div w:id="2061707668">
      <w:bodyDiv w:val="1"/>
      <w:marLeft w:val="0"/>
      <w:marRight w:val="0"/>
      <w:marTop w:val="0"/>
      <w:marBottom w:val="0"/>
      <w:divBdr>
        <w:top w:val="none" w:sz="0" w:space="0" w:color="auto"/>
        <w:left w:val="none" w:sz="0" w:space="0" w:color="auto"/>
        <w:bottom w:val="none" w:sz="0" w:space="0" w:color="auto"/>
        <w:right w:val="none" w:sz="0" w:space="0" w:color="auto"/>
      </w:divBdr>
      <w:divsChild>
        <w:div w:id="1953123059">
          <w:marLeft w:val="0"/>
          <w:marRight w:val="0"/>
          <w:marTop w:val="0"/>
          <w:marBottom w:val="0"/>
          <w:divBdr>
            <w:top w:val="none" w:sz="0" w:space="0" w:color="auto"/>
            <w:left w:val="none" w:sz="0" w:space="0" w:color="auto"/>
            <w:bottom w:val="none" w:sz="0" w:space="0" w:color="auto"/>
            <w:right w:val="none" w:sz="0" w:space="0" w:color="auto"/>
          </w:divBdr>
          <w:divsChild>
            <w:div w:id="521357954">
              <w:marLeft w:val="0"/>
              <w:marRight w:val="0"/>
              <w:marTop w:val="100"/>
              <w:marBottom w:val="100"/>
              <w:divBdr>
                <w:top w:val="none" w:sz="0" w:space="0" w:color="auto"/>
                <w:left w:val="none" w:sz="0" w:space="0" w:color="auto"/>
                <w:bottom w:val="none" w:sz="0" w:space="0" w:color="auto"/>
                <w:right w:val="none" w:sz="0" w:space="0" w:color="auto"/>
              </w:divBdr>
              <w:divsChild>
                <w:div w:id="701057540">
                  <w:marLeft w:val="0"/>
                  <w:marRight w:val="0"/>
                  <w:marTop w:val="0"/>
                  <w:marBottom w:val="0"/>
                  <w:divBdr>
                    <w:top w:val="none" w:sz="0" w:space="0" w:color="auto"/>
                    <w:left w:val="none" w:sz="0" w:space="0" w:color="auto"/>
                    <w:bottom w:val="none" w:sz="0" w:space="0" w:color="auto"/>
                    <w:right w:val="none" w:sz="0" w:space="0" w:color="auto"/>
                  </w:divBdr>
                  <w:divsChild>
                    <w:div w:id="777142721">
                      <w:marLeft w:val="0"/>
                      <w:marRight w:val="0"/>
                      <w:marTop w:val="0"/>
                      <w:marBottom w:val="0"/>
                      <w:divBdr>
                        <w:top w:val="none" w:sz="0" w:space="0" w:color="auto"/>
                        <w:left w:val="none" w:sz="0" w:space="0" w:color="auto"/>
                        <w:bottom w:val="none" w:sz="0" w:space="0" w:color="auto"/>
                        <w:right w:val="none" w:sz="0" w:space="0" w:color="auto"/>
                      </w:divBdr>
                      <w:divsChild>
                        <w:div w:id="1985044051">
                          <w:marLeft w:val="0"/>
                          <w:marRight w:val="0"/>
                          <w:marTop w:val="0"/>
                          <w:marBottom w:val="480"/>
                          <w:divBdr>
                            <w:top w:val="none" w:sz="0" w:space="0" w:color="auto"/>
                            <w:left w:val="none" w:sz="0" w:space="0" w:color="auto"/>
                            <w:bottom w:val="none" w:sz="0" w:space="0" w:color="auto"/>
                            <w:right w:val="none" w:sz="0" w:space="0" w:color="auto"/>
                          </w:divBdr>
                          <w:divsChild>
                            <w:div w:id="1010064944">
                              <w:marLeft w:val="0"/>
                              <w:marRight w:val="0"/>
                              <w:marTop w:val="0"/>
                              <w:marBottom w:val="480"/>
                              <w:divBdr>
                                <w:top w:val="single" w:sz="6" w:space="16" w:color="DDDDDD"/>
                                <w:left w:val="single" w:sz="6" w:space="16" w:color="DDDDDD"/>
                                <w:bottom w:val="single" w:sz="6" w:space="16" w:color="DDDDDD"/>
                                <w:right w:val="single" w:sz="6" w:space="16" w:color="DDDDDD"/>
                              </w:divBdr>
                              <w:divsChild>
                                <w:div w:id="1949509366">
                                  <w:marLeft w:val="0"/>
                                  <w:marRight w:val="0"/>
                                  <w:marTop w:val="0"/>
                                  <w:marBottom w:val="0"/>
                                  <w:divBdr>
                                    <w:top w:val="none" w:sz="0" w:space="0" w:color="auto"/>
                                    <w:left w:val="none" w:sz="0" w:space="0" w:color="auto"/>
                                    <w:bottom w:val="none" w:sz="0" w:space="0" w:color="auto"/>
                                    <w:right w:val="none" w:sz="0" w:space="0" w:color="auto"/>
                                  </w:divBdr>
                                  <w:divsChild>
                                    <w:div w:id="176082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782</Words>
  <Characters>4458</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 Baldrati</dc:creator>
  <cp:lastModifiedBy>Alberto Alvisi</cp:lastModifiedBy>
  <cp:revision>2</cp:revision>
  <cp:lastPrinted>2020-05-27T08:01:00Z</cp:lastPrinted>
  <dcterms:created xsi:type="dcterms:W3CDTF">2021-01-29T09:22:00Z</dcterms:created>
  <dcterms:modified xsi:type="dcterms:W3CDTF">2021-01-29T09:22:00Z</dcterms:modified>
</cp:coreProperties>
</file>