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464" w:type="dxa"/>
        <w:tblLook w:val="04A0" w:firstRow="1" w:lastRow="0" w:firstColumn="1" w:lastColumn="0" w:noHBand="0" w:noVBand="1"/>
      </w:tblPr>
      <w:tblGrid>
        <w:gridCol w:w="2943"/>
        <w:gridCol w:w="1867"/>
        <w:gridCol w:w="3799"/>
        <w:gridCol w:w="855"/>
      </w:tblGrid>
      <w:tr w:rsidR="00AB14F5" w:rsidRPr="00AB14F5" w:rsidTr="00733701">
        <w:trPr>
          <w:cantSplit/>
        </w:trPr>
        <w:tc>
          <w:tcPr>
            <w:tcW w:w="9464" w:type="dxa"/>
            <w:gridSpan w:val="4"/>
            <w:shd w:val="clear" w:color="auto" w:fill="auto"/>
          </w:tcPr>
          <w:p w:rsidR="00AB14F5" w:rsidRDefault="00AB14F5" w:rsidP="00AB14F5">
            <w:pPr>
              <w:spacing w:before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 xml:space="preserve">Insegnamento: </w:t>
            </w:r>
            <w:r w:rsidR="00071278" w:rsidRPr="00071278">
              <w:rPr>
                <w:b/>
                <w:sz w:val="28"/>
              </w:rPr>
              <w:t xml:space="preserve">74878 - NUTRIZIONE E ALIMENTAZIONE ANIMALE </w:t>
            </w:r>
          </w:p>
          <w:p w:rsidR="00AB14F5" w:rsidRPr="00DB65F2" w:rsidRDefault="009962B1" w:rsidP="00AB14F5">
            <w:pPr>
              <w:spacing w:after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 xml:space="preserve"> </w:t>
            </w:r>
            <w:r w:rsidR="00AB14F5" w:rsidRPr="00AB14F5">
              <w:rPr>
                <w:b/>
                <w:sz w:val="28"/>
              </w:rPr>
              <w:t>(</w:t>
            </w:r>
            <w:r w:rsidR="00B02CD8">
              <w:rPr>
                <w:b/>
                <w:sz w:val="28"/>
              </w:rPr>
              <w:t>7</w:t>
            </w:r>
            <w:r w:rsidR="00AB14F5" w:rsidRPr="00AB14F5">
              <w:rPr>
                <w:b/>
                <w:sz w:val="28"/>
              </w:rPr>
              <w:t xml:space="preserve"> CFU; </w:t>
            </w:r>
            <w:r w:rsidR="00AB14F5" w:rsidRPr="00DB65F2">
              <w:rPr>
                <w:b/>
                <w:sz w:val="28"/>
              </w:rPr>
              <w:t xml:space="preserve">n. </w:t>
            </w:r>
            <w:r w:rsidR="00B02CD8">
              <w:rPr>
                <w:b/>
                <w:sz w:val="28"/>
              </w:rPr>
              <w:t>4</w:t>
            </w:r>
            <w:r w:rsidR="00F43C52">
              <w:rPr>
                <w:b/>
                <w:sz w:val="28"/>
              </w:rPr>
              <w:t>6</w:t>
            </w:r>
            <w:r w:rsidR="00DB65F2" w:rsidRPr="00DB65F2">
              <w:rPr>
                <w:b/>
                <w:sz w:val="28"/>
              </w:rPr>
              <w:t xml:space="preserve"> </w:t>
            </w:r>
            <w:r w:rsidR="00AB14F5" w:rsidRPr="00DB65F2">
              <w:rPr>
                <w:b/>
                <w:sz w:val="28"/>
              </w:rPr>
              <w:t>ore di lezion</w:t>
            </w:r>
            <w:r w:rsidR="00B22E98">
              <w:rPr>
                <w:b/>
                <w:sz w:val="28"/>
              </w:rPr>
              <w:t>i</w:t>
            </w:r>
            <w:r w:rsidR="00AB14F5" w:rsidRPr="00DB65F2">
              <w:rPr>
                <w:b/>
                <w:sz w:val="28"/>
              </w:rPr>
              <w:t xml:space="preserve"> frontal</w:t>
            </w:r>
            <w:r w:rsidR="00B22E98">
              <w:rPr>
                <w:b/>
                <w:sz w:val="28"/>
              </w:rPr>
              <w:t>i</w:t>
            </w:r>
            <w:r w:rsidR="00AB14F5" w:rsidRPr="00DB65F2">
              <w:rPr>
                <w:b/>
                <w:sz w:val="28"/>
              </w:rPr>
              <w:t xml:space="preserve"> e </w:t>
            </w:r>
            <w:r w:rsidR="00B02CD8">
              <w:rPr>
                <w:b/>
                <w:sz w:val="28"/>
              </w:rPr>
              <w:t>2</w:t>
            </w:r>
            <w:r w:rsidR="00F43C52">
              <w:rPr>
                <w:b/>
                <w:sz w:val="28"/>
              </w:rPr>
              <w:t>4</w:t>
            </w:r>
            <w:r w:rsidR="00AB14F5" w:rsidRPr="00DB65F2">
              <w:rPr>
                <w:b/>
                <w:sz w:val="28"/>
              </w:rPr>
              <w:t xml:space="preserve"> ore di </w:t>
            </w:r>
            <w:r w:rsidR="00E8416B">
              <w:rPr>
                <w:b/>
                <w:sz w:val="28"/>
              </w:rPr>
              <w:t>attività pratica</w:t>
            </w:r>
            <w:r w:rsidR="001D77FD">
              <w:rPr>
                <w:b/>
                <w:sz w:val="28"/>
              </w:rPr>
              <w:t xml:space="preserve"> e </w:t>
            </w:r>
            <w:r w:rsidR="003C3D73">
              <w:rPr>
                <w:b/>
                <w:sz w:val="28"/>
              </w:rPr>
              <w:t>visit</w:t>
            </w:r>
            <w:r w:rsidR="00B02CD8">
              <w:rPr>
                <w:b/>
                <w:sz w:val="28"/>
              </w:rPr>
              <w:t>e</w:t>
            </w:r>
            <w:r w:rsidR="003C3D73">
              <w:rPr>
                <w:b/>
                <w:sz w:val="28"/>
              </w:rPr>
              <w:t xml:space="preserve"> tecnic</w:t>
            </w:r>
            <w:r w:rsidR="00B02CD8">
              <w:rPr>
                <w:b/>
                <w:sz w:val="28"/>
              </w:rPr>
              <w:t>he)</w:t>
            </w:r>
          </w:p>
          <w:p w:rsidR="00AB14F5" w:rsidRPr="00AB14F5" w:rsidRDefault="00AB14F5" w:rsidP="00AB14F5">
            <w:pPr>
              <w:spacing w:after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 xml:space="preserve">Corso di laurea: </w:t>
            </w:r>
            <w:r w:rsidR="003C3D73">
              <w:rPr>
                <w:b/>
                <w:sz w:val="28"/>
              </w:rPr>
              <w:t xml:space="preserve">Produzioni Animali </w:t>
            </w:r>
          </w:p>
          <w:p w:rsidR="00AB14F5" w:rsidRPr="00AB14F5" w:rsidRDefault="00AB14F5" w:rsidP="00AB14F5">
            <w:pPr>
              <w:spacing w:after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 xml:space="preserve">Scuola di Agraria e Medicina Veterinaria </w:t>
            </w:r>
          </w:p>
          <w:p w:rsidR="00AB14F5" w:rsidRPr="00AB14F5" w:rsidRDefault="00873B12" w:rsidP="00B531F1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Prof.</w:t>
            </w:r>
            <w:r w:rsidR="00B531F1">
              <w:rPr>
                <w:b/>
                <w:sz w:val="28"/>
              </w:rPr>
              <w:t xml:space="preserve"> Paolo Bosi</w:t>
            </w:r>
          </w:p>
        </w:tc>
        <w:bookmarkStart w:id="0" w:name="_GoBack"/>
        <w:bookmarkEnd w:id="0"/>
      </w:tr>
      <w:tr w:rsidR="00AB14F5" w:rsidRPr="00AB14F5" w:rsidTr="00733701">
        <w:trPr>
          <w:cantSplit/>
        </w:trPr>
        <w:tc>
          <w:tcPr>
            <w:tcW w:w="9464" w:type="dxa"/>
            <w:gridSpan w:val="4"/>
            <w:shd w:val="clear" w:color="auto" w:fill="auto"/>
          </w:tcPr>
          <w:p w:rsidR="00AB14F5" w:rsidRPr="00B531F1" w:rsidRDefault="00AB14F5" w:rsidP="00733701">
            <w:pPr>
              <w:spacing w:before="120" w:after="120"/>
              <w:jc w:val="center"/>
              <w:rPr>
                <w:b/>
                <w:sz w:val="24"/>
              </w:rPr>
            </w:pPr>
            <w:r w:rsidRPr="00B531F1">
              <w:rPr>
                <w:b/>
                <w:sz w:val="24"/>
              </w:rPr>
              <w:t>LEZIONI FRONTALI (</w:t>
            </w:r>
            <w:r w:rsidR="00B02CD8">
              <w:rPr>
                <w:b/>
                <w:sz w:val="24"/>
              </w:rPr>
              <w:t>4</w:t>
            </w:r>
            <w:r w:rsidR="003A7F69">
              <w:rPr>
                <w:b/>
                <w:sz w:val="24"/>
              </w:rPr>
              <w:t>6</w:t>
            </w:r>
            <w:r w:rsidRPr="00B531F1">
              <w:rPr>
                <w:b/>
                <w:sz w:val="24"/>
              </w:rPr>
              <w:t xml:space="preserve"> ore)</w:t>
            </w:r>
          </w:p>
        </w:tc>
      </w:tr>
      <w:tr w:rsidR="00733701" w:rsidRPr="00AB14F5" w:rsidTr="00733701">
        <w:trPr>
          <w:cantSplit/>
        </w:trPr>
        <w:tc>
          <w:tcPr>
            <w:tcW w:w="2943" w:type="dxa"/>
          </w:tcPr>
          <w:p w:rsidR="00AB14F5" w:rsidRPr="00B531F1" w:rsidRDefault="00DB65F2" w:rsidP="00AB14F5">
            <w:pPr>
              <w:jc w:val="center"/>
              <w:rPr>
                <w:b/>
                <w:sz w:val="24"/>
              </w:rPr>
            </w:pPr>
            <w:r w:rsidRPr="00B531F1">
              <w:rPr>
                <w:b/>
                <w:sz w:val="24"/>
              </w:rPr>
              <w:t>Temi e competenze</w:t>
            </w:r>
          </w:p>
        </w:tc>
        <w:tc>
          <w:tcPr>
            <w:tcW w:w="1867" w:type="dxa"/>
          </w:tcPr>
          <w:p w:rsidR="00AB14F5" w:rsidRPr="00B531F1" w:rsidRDefault="00AB14F5" w:rsidP="00AB14F5">
            <w:pPr>
              <w:jc w:val="center"/>
              <w:rPr>
                <w:b/>
                <w:sz w:val="24"/>
              </w:rPr>
            </w:pPr>
            <w:r w:rsidRPr="00B531F1">
              <w:rPr>
                <w:b/>
                <w:sz w:val="24"/>
              </w:rPr>
              <w:t>Argomenti</w:t>
            </w:r>
          </w:p>
        </w:tc>
        <w:tc>
          <w:tcPr>
            <w:tcW w:w="3799" w:type="dxa"/>
          </w:tcPr>
          <w:p w:rsidR="00AB14F5" w:rsidRPr="00B531F1" w:rsidRDefault="00AB14F5" w:rsidP="00AB14F5">
            <w:pPr>
              <w:jc w:val="center"/>
              <w:rPr>
                <w:b/>
                <w:sz w:val="24"/>
              </w:rPr>
            </w:pPr>
            <w:r w:rsidRPr="00B531F1">
              <w:rPr>
                <w:b/>
                <w:sz w:val="24"/>
              </w:rPr>
              <w:t>Contenuti specifici</w:t>
            </w:r>
          </w:p>
        </w:tc>
        <w:tc>
          <w:tcPr>
            <w:tcW w:w="855" w:type="dxa"/>
          </w:tcPr>
          <w:p w:rsidR="00AB14F5" w:rsidRPr="00B531F1" w:rsidRDefault="00AB14F5" w:rsidP="00AB14F5">
            <w:pPr>
              <w:jc w:val="center"/>
              <w:rPr>
                <w:b/>
                <w:sz w:val="24"/>
              </w:rPr>
            </w:pPr>
            <w:r w:rsidRPr="00B531F1">
              <w:rPr>
                <w:b/>
                <w:sz w:val="24"/>
              </w:rPr>
              <w:t>Ore</w:t>
            </w:r>
          </w:p>
        </w:tc>
      </w:tr>
      <w:tr w:rsidR="0095716D" w:rsidRPr="00AB14F5" w:rsidTr="0095716D">
        <w:trPr>
          <w:cantSplit/>
          <w:trHeight w:val="1169"/>
        </w:trPr>
        <w:tc>
          <w:tcPr>
            <w:tcW w:w="2943" w:type="dxa"/>
            <w:vMerge w:val="restart"/>
          </w:tcPr>
          <w:p w:rsidR="0095716D" w:rsidRDefault="0095716D" w:rsidP="001A42B7">
            <w:pPr>
              <w:numPr>
                <w:ilvl w:val="0"/>
                <w:numId w:val="1"/>
              </w:numPr>
              <w:spacing w:after="120" w:line="276" w:lineRule="auto"/>
              <w:ind w:left="284" w:hanging="284"/>
              <w:contextualSpacing/>
              <w:rPr>
                <w:caps/>
                <w:sz w:val="24"/>
              </w:rPr>
            </w:pPr>
            <w:r>
              <w:rPr>
                <w:caps/>
                <w:sz w:val="24"/>
              </w:rPr>
              <w:t>FONDAMENTI E CONOSCENZE DI BASE</w:t>
            </w:r>
          </w:p>
          <w:p w:rsidR="0095716D" w:rsidRDefault="0095716D" w:rsidP="00250676">
            <w:pPr>
              <w:spacing w:after="120"/>
              <w:ind w:left="284"/>
              <w:contextualSpacing/>
              <w:rPr>
                <w:caps/>
                <w:sz w:val="24"/>
              </w:rPr>
            </w:pPr>
            <w:r w:rsidRPr="00A20E3F">
              <w:rPr>
                <w:sz w:val="24"/>
              </w:rPr>
              <w:t>(lo studente</w:t>
            </w:r>
            <w:r>
              <w:rPr>
                <w:sz w:val="24"/>
              </w:rPr>
              <w:t xml:space="preserve"> dovrà integrare le conoscenze di base riguardanti i nutrienti, la digestione, le caratteristiche dei prodotti animali, con i concetti pratici di valutazione dei</w:t>
            </w:r>
            <w:r w:rsidRPr="00250676">
              <w:rPr>
                <w:sz w:val="24"/>
              </w:rPr>
              <w:t xml:space="preserve"> nutrienti</w:t>
            </w:r>
            <w:r>
              <w:rPr>
                <w:sz w:val="24"/>
              </w:rPr>
              <w:t>, di</w:t>
            </w:r>
            <w:r w:rsidRPr="002506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quantificazione della </w:t>
            </w:r>
            <w:r w:rsidRPr="00250676">
              <w:rPr>
                <w:sz w:val="24"/>
              </w:rPr>
              <w:t>dige</w:t>
            </w:r>
            <w:r>
              <w:rPr>
                <w:sz w:val="24"/>
              </w:rPr>
              <w:t xml:space="preserve">ribilità, del dispendio energetico, del valore biologico) </w:t>
            </w:r>
          </w:p>
          <w:p w:rsidR="0095716D" w:rsidRDefault="0095716D" w:rsidP="00250676">
            <w:pPr>
              <w:spacing w:after="120"/>
              <w:ind w:left="284"/>
              <w:contextualSpacing/>
              <w:rPr>
                <w:caps/>
                <w:sz w:val="24"/>
              </w:rPr>
            </w:pPr>
          </w:p>
        </w:tc>
        <w:tc>
          <w:tcPr>
            <w:tcW w:w="1867" w:type="dxa"/>
            <w:vMerge w:val="restart"/>
          </w:tcPr>
          <w:p w:rsidR="0095716D" w:rsidRPr="00AB14F5" w:rsidRDefault="0095716D" w:rsidP="00250676">
            <w:pPr>
              <w:rPr>
                <w:sz w:val="24"/>
                <w:highlight w:val="yellow"/>
              </w:rPr>
            </w:pPr>
            <w:r w:rsidRPr="00482EC8">
              <w:rPr>
                <w:sz w:val="24"/>
              </w:rPr>
              <w:t>Generalità</w:t>
            </w:r>
          </w:p>
        </w:tc>
        <w:tc>
          <w:tcPr>
            <w:tcW w:w="3799" w:type="dxa"/>
          </w:tcPr>
          <w:p w:rsidR="0095716D" w:rsidRPr="00AC6FEC" w:rsidRDefault="0095716D" w:rsidP="0095716D">
            <w:pPr>
              <w:spacing w:after="12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95716D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Modalità di svolgimento dell’insegnamento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. </w:t>
            </w:r>
            <w:r w:rsidRPr="0095716D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I con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tenuti e il materiale di studio. </w:t>
            </w:r>
            <w:r w:rsidRPr="0095716D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Modalità di valutazione del profitto</w:t>
            </w:r>
          </w:p>
        </w:tc>
        <w:tc>
          <w:tcPr>
            <w:tcW w:w="855" w:type="dxa"/>
          </w:tcPr>
          <w:p w:rsidR="0095716D" w:rsidRPr="00AB14F5" w:rsidRDefault="0095716D" w:rsidP="00250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716D" w:rsidRPr="00AB14F5" w:rsidTr="00733701">
        <w:trPr>
          <w:cantSplit/>
          <w:trHeight w:val="1169"/>
        </w:trPr>
        <w:tc>
          <w:tcPr>
            <w:tcW w:w="2943" w:type="dxa"/>
            <w:vMerge/>
          </w:tcPr>
          <w:p w:rsidR="0095716D" w:rsidRDefault="0095716D" w:rsidP="001A42B7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1867" w:type="dxa"/>
            <w:vMerge/>
          </w:tcPr>
          <w:p w:rsidR="0095716D" w:rsidRPr="00482EC8" w:rsidRDefault="0095716D" w:rsidP="00250676">
            <w:pPr>
              <w:rPr>
                <w:sz w:val="24"/>
              </w:rPr>
            </w:pPr>
          </w:p>
        </w:tc>
        <w:tc>
          <w:tcPr>
            <w:tcW w:w="3799" w:type="dxa"/>
          </w:tcPr>
          <w:p w:rsidR="0095716D" w:rsidRPr="00250676" w:rsidRDefault="0095716D" w:rsidP="00BA504B">
            <w:pPr>
              <w:spacing w:after="12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 w:rsidRPr="0095716D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Evoluzione della scienza della nutrizione e delle tecniche alimentari. Relazione alimento-animale-uomo. Caratteristiche chimiche medie dei prodotti d'origine animale.</w:t>
            </w:r>
          </w:p>
        </w:tc>
        <w:tc>
          <w:tcPr>
            <w:tcW w:w="855" w:type="dxa"/>
          </w:tcPr>
          <w:p w:rsidR="0095716D" w:rsidRDefault="0095716D" w:rsidP="00250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5716D" w:rsidRPr="00AB14F5" w:rsidTr="00733701">
        <w:trPr>
          <w:cantSplit/>
          <w:trHeight w:val="795"/>
        </w:trPr>
        <w:tc>
          <w:tcPr>
            <w:tcW w:w="2943" w:type="dxa"/>
            <w:vMerge/>
          </w:tcPr>
          <w:p w:rsidR="0095716D" w:rsidRDefault="0095716D" w:rsidP="001A42B7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1867" w:type="dxa"/>
          </w:tcPr>
          <w:p w:rsidR="0095716D" w:rsidRDefault="0095716D" w:rsidP="00250676">
            <w:pPr>
              <w:rPr>
                <w:sz w:val="24"/>
              </w:rPr>
            </w:pPr>
            <w:r>
              <w:rPr>
                <w:sz w:val="24"/>
              </w:rPr>
              <w:t>Caratteristiche chimiche dei componenti della dieta e riflessi nutrizionali</w:t>
            </w:r>
          </w:p>
        </w:tc>
        <w:tc>
          <w:tcPr>
            <w:tcW w:w="3799" w:type="dxa"/>
          </w:tcPr>
          <w:p w:rsidR="0095716D" w:rsidRPr="00B161EB" w:rsidRDefault="0095716D" w:rsidP="00B161EB">
            <w:pPr>
              <w:rPr>
                <w:rFonts w:cs="Times New Roman"/>
                <w:sz w:val="24"/>
                <w:szCs w:val="24"/>
              </w:rPr>
            </w:pPr>
            <w:r w:rsidRPr="00BA504B">
              <w:rPr>
                <w:rFonts w:cs="Times New Roman"/>
                <w:sz w:val="24"/>
                <w:szCs w:val="24"/>
              </w:rPr>
              <w:t>Amido, amilosio, amilopectine, gelatinizzazione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BA504B">
              <w:rPr>
                <w:rFonts w:cs="Times New Roman"/>
                <w:sz w:val="24"/>
                <w:szCs w:val="24"/>
              </w:rPr>
              <w:t xml:space="preserve"> Struttura generale della parete vegetale. Cellulosa, emicellulose, pectine. La lignina. Utilizzazione della fibra in funzione del diverso comportamento alimentare. </w:t>
            </w:r>
            <w:proofErr w:type="spellStart"/>
            <w:r w:rsidRPr="00BA504B">
              <w:rPr>
                <w:rFonts w:cs="Times New Roman"/>
                <w:sz w:val="24"/>
                <w:szCs w:val="24"/>
              </w:rPr>
              <w:t>Mioinositolo</w:t>
            </w:r>
            <w:proofErr w:type="spellEnd"/>
            <w:r w:rsidRPr="00BA504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A504B">
              <w:rPr>
                <w:rFonts w:cs="Times New Roman"/>
                <w:sz w:val="24"/>
                <w:szCs w:val="24"/>
              </w:rPr>
              <w:t>ac</w:t>
            </w:r>
            <w:proofErr w:type="spellEnd"/>
            <w:r w:rsidRPr="00BA504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A504B">
              <w:rPr>
                <w:rFonts w:cs="Times New Roman"/>
                <w:sz w:val="24"/>
                <w:szCs w:val="24"/>
              </w:rPr>
              <w:t>fitico</w:t>
            </w:r>
            <w:proofErr w:type="spellEnd"/>
            <w:r w:rsidRPr="00BA504B">
              <w:rPr>
                <w:rFonts w:cs="Times New Roman"/>
                <w:sz w:val="24"/>
                <w:szCs w:val="24"/>
              </w:rPr>
              <w:t xml:space="preserve">, indigeribilità del fosforo </w:t>
            </w:r>
            <w:proofErr w:type="spellStart"/>
            <w:r w:rsidRPr="00BA504B">
              <w:rPr>
                <w:rFonts w:cs="Times New Roman"/>
                <w:sz w:val="24"/>
                <w:szCs w:val="24"/>
              </w:rPr>
              <w:t>fitinico</w:t>
            </w:r>
            <w:proofErr w:type="spellEnd"/>
            <w:r w:rsidRPr="00BA504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A504B">
              <w:rPr>
                <w:rFonts w:cs="Times New Roman"/>
                <w:sz w:val="24"/>
                <w:szCs w:val="24"/>
              </w:rPr>
              <w:t>fitasi</w:t>
            </w:r>
            <w:proofErr w:type="spellEnd"/>
            <w:r w:rsidRPr="00BA504B">
              <w:rPr>
                <w:rFonts w:cs="Times New Roman"/>
                <w:sz w:val="24"/>
                <w:szCs w:val="24"/>
              </w:rPr>
              <w:t xml:space="preserve"> endogene ed esogena della dieta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BA504B">
              <w:rPr>
                <w:rFonts w:cs="Times New Roman"/>
                <w:sz w:val="24"/>
                <w:szCs w:val="24"/>
              </w:rPr>
              <w:t xml:space="preserve">Lipidi. Struttura e comportamento funzionale. </w:t>
            </w:r>
            <w:proofErr w:type="spellStart"/>
            <w:r w:rsidRPr="00BA504B">
              <w:rPr>
                <w:rFonts w:cs="Times New Roman"/>
                <w:sz w:val="24"/>
                <w:szCs w:val="24"/>
              </w:rPr>
              <w:t>Ac</w:t>
            </w:r>
            <w:proofErr w:type="spellEnd"/>
            <w:r w:rsidRPr="00BA504B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A504B">
              <w:rPr>
                <w:rFonts w:cs="Times New Roman"/>
                <w:sz w:val="24"/>
                <w:szCs w:val="24"/>
              </w:rPr>
              <w:t>grassi essenziali.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BA504B">
              <w:rPr>
                <w:rFonts w:cs="Times New Roman"/>
                <w:sz w:val="24"/>
                <w:szCs w:val="24"/>
              </w:rPr>
              <w:t>Proteine e A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A504B">
              <w:rPr>
                <w:rFonts w:cs="Times New Roman"/>
                <w:sz w:val="24"/>
                <w:szCs w:val="24"/>
              </w:rPr>
              <w:t>.Acidi essenziali. A.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A504B">
              <w:rPr>
                <w:rFonts w:cs="Times New Roman"/>
                <w:sz w:val="24"/>
                <w:szCs w:val="24"/>
              </w:rPr>
              <w:t>Acidi condizionati e semi-essenziali.</w:t>
            </w:r>
            <w:r>
              <w:t xml:space="preserve"> </w:t>
            </w:r>
            <w:r>
              <w:rPr>
                <w:rFonts w:cs="Times New Roman"/>
                <w:sz w:val="24"/>
                <w:szCs w:val="24"/>
              </w:rPr>
              <w:t>I</w:t>
            </w:r>
            <w:r w:rsidRPr="00B161EB">
              <w:rPr>
                <w:rFonts w:cs="Times New Roman"/>
                <w:sz w:val="24"/>
                <w:szCs w:val="24"/>
              </w:rPr>
              <w:t>mportanza nutrizionale dell'acqua. Rapporto tra consumo d'alimento e di acqua.</w:t>
            </w:r>
          </w:p>
          <w:p w:rsidR="0095716D" w:rsidRPr="00BA504B" w:rsidRDefault="0095716D" w:rsidP="005B2323">
            <w:pPr>
              <w:rPr>
                <w:rFonts w:cs="Times New Roman"/>
                <w:sz w:val="24"/>
                <w:szCs w:val="24"/>
              </w:rPr>
            </w:pPr>
            <w:r w:rsidRPr="00B161EB">
              <w:rPr>
                <w:rFonts w:cs="Times New Roman"/>
                <w:sz w:val="24"/>
                <w:szCs w:val="24"/>
              </w:rPr>
              <w:t xml:space="preserve">Vitamine: fattori che  ne condizionano la presenza, la disponibilità ed il fabbisogno. I minerali in nutrizione. </w:t>
            </w:r>
            <w:proofErr w:type="spellStart"/>
            <w:r w:rsidRPr="00B161EB">
              <w:rPr>
                <w:rFonts w:cs="Times New Roman"/>
                <w:sz w:val="24"/>
                <w:szCs w:val="24"/>
              </w:rPr>
              <w:t>Macroelementi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e microelementi</w:t>
            </w:r>
            <w:r w:rsidRPr="00B161EB">
              <w:rPr>
                <w:rFonts w:cs="Times New Roman"/>
                <w:sz w:val="24"/>
                <w:szCs w:val="24"/>
              </w:rPr>
              <w:t>. L'equilibrio acido-base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A504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</w:tcPr>
          <w:p w:rsidR="0095716D" w:rsidRDefault="0095716D" w:rsidP="00250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5716D" w:rsidRPr="00AB14F5" w:rsidTr="00733701">
        <w:trPr>
          <w:cantSplit/>
          <w:trHeight w:val="20"/>
        </w:trPr>
        <w:tc>
          <w:tcPr>
            <w:tcW w:w="2943" w:type="dxa"/>
            <w:vMerge/>
          </w:tcPr>
          <w:p w:rsidR="0095716D" w:rsidRDefault="0095716D" w:rsidP="00A20E3F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1867" w:type="dxa"/>
          </w:tcPr>
          <w:p w:rsidR="0095716D" w:rsidRPr="00482EC8" w:rsidRDefault="0095716D" w:rsidP="00250676">
            <w:pPr>
              <w:rPr>
                <w:sz w:val="24"/>
              </w:rPr>
            </w:pPr>
            <w:r>
              <w:rPr>
                <w:sz w:val="24"/>
              </w:rPr>
              <w:t xml:space="preserve">Richiami </w:t>
            </w:r>
            <w:proofErr w:type="spellStart"/>
            <w:r>
              <w:rPr>
                <w:sz w:val="24"/>
              </w:rPr>
              <w:t>anatomo</w:t>
            </w:r>
            <w:proofErr w:type="spellEnd"/>
            <w:r>
              <w:rPr>
                <w:sz w:val="24"/>
              </w:rPr>
              <w:t>-fisiologici del digerente dei diversi animali e valutazione pratica della digeribilità e fermentescibilità</w:t>
            </w:r>
          </w:p>
        </w:tc>
        <w:tc>
          <w:tcPr>
            <w:tcW w:w="3799" w:type="dxa"/>
          </w:tcPr>
          <w:p w:rsidR="0095716D" w:rsidRPr="002051B5" w:rsidRDefault="0095716D" w:rsidP="00BA504B">
            <w:pPr>
              <w:rPr>
                <w:rFonts w:cs="Tahoma"/>
                <w:sz w:val="24"/>
                <w:szCs w:val="24"/>
              </w:rPr>
            </w:pPr>
            <w:r w:rsidRPr="002051B5">
              <w:rPr>
                <w:rFonts w:cs="Tahoma"/>
                <w:sz w:val="24"/>
                <w:szCs w:val="24"/>
              </w:rPr>
              <w:t>Digestione assorbimento, trasporto.</w:t>
            </w:r>
            <w:r>
              <w:rPr>
                <w:rFonts w:cs="Tahoma"/>
                <w:sz w:val="24"/>
                <w:szCs w:val="24"/>
              </w:rPr>
              <w:t xml:space="preserve"> Misura e fattori di variazione delle digeribilità e fermentescibilità degli alimenti. Metodi di riferimento e metodi in vitro e in sacco</w:t>
            </w:r>
            <w:r w:rsidRPr="002051B5">
              <w:rPr>
                <w:rFonts w:cs="Tahoma"/>
                <w:sz w:val="24"/>
                <w:szCs w:val="24"/>
              </w:rPr>
              <w:br/>
            </w:r>
          </w:p>
        </w:tc>
        <w:tc>
          <w:tcPr>
            <w:tcW w:w="855" w:type="dxa"/>
          </w:tcPr>
          <w:p w:rsidR="0095716D" w:rsidRDefault="0095716D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5716D" w:rsidRPr="00AB14F5" w:rsidTr="00733701">
        <w:trPr>
          <w:cantSplit/>
          <w:trHeight w:val="20"/>
        </w:trPr>
        <w:tc>
          <w:tcPr>
            <w:tcW w:w="2943" w:type="dxa"/>
            <w:vMerge/>
          </w:tcPr>
          <w:p w:rsidR="0095716D" w:rsidRDefault="0095716D" w:rsidP="00A20E3F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1867" w:type="dxa"/>
            <w:vMerge w:val="restart"/>
          </w:tcPr>
          <w:p w:rsidR="0095716D" w:rsidRDefault="0095716D" w:rsidP="00250676">
            <w:pPr>
              <w:rPr>
                <w:sz w:val="24"/>
              </w:rPr>
            </w:pPr>
            <w:r>
              <w:rPr>
                <w:sz w:val="24"/>
              </w:rPr>
              <w:t>Valutazione dell’utilizzazione nette delle proteine e dell’energia. I fabbisogni nutrizionali</w:t>
            </w:r>
          </w:p>
        </w:tc>
        <w:tc>
          <w:tcPr>
            <w:tcW w:w="3799" w:type="dxa"/>
          </w:tcPr>
          <w:p w:rsidR="0095716D" w:rsidRPr="005B2323" w:rsidRDefault="0095716D">
            <w:pPr>
              <w:rPr>
                <w:rFonts w:cs="Tahoma"/>
                <w:sz w:val="24"/>
                <w:szCs w:val="24"/>
              </w:rPr>
            </w:pPr>
            <w:r w:rsidRPr="005B2323">
              <w:rPr>
                <w:rFonts w:cs="Tahoma"/>
                <w:sz w:val="24"/>
                <w:szCs w:val="24"/>
              </w:rPr>
              <w:t>La deposizione di proteine</w:t>
            </w:r>
            <w:r>
              <w:rPr>
                <w:rFonts w:cs="Tahoma"/>
                <w:sz w:val="24"/>
                <w:szCs w:val="24"/>
              </w:rPr>
              <w:t>. Misura del valore biologico e sua stima</w:t>
            </w:r>
          </w:p>
        </w:tc>
        <w:tc>
          <w:tcPr>
            <w:tcW w:w="855" w:type="dxa"/>
          </w:tcPr>
          <w:p w:rsidR="0095716D" w:rsidRDefault="0095716D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5716D" w:rsidRPr="00AB14F5" w:rsidTr="00733701">
        <w:trPr>
          <w:cantSplit/>
          <w:trHeight w:val="20"/>
        </w:trPr>
        <w:tc>
          <w:tcPr>
            <w:tcW w:w="2943" w:type="dxa"/>
            <w:vMerge/>
          </w:tcPr>
          <w:p w:rsidR="0095716D" w:rsidRDefault="0095716D" w:rsidP="00A20E3F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1867" w:type="dxa"/>
            <w:vMerge/>
          </w:tcPr>
          <w:p w:rsidR="0095716D" w:rsidRPr="00482EC8" w:rsidRDefault="0095716D" w:rsidP="006317C5">
            <w:pPr>
              <w:rPr>
                <w:sz w:val="24"/>
              </w:rPr>
            </w:pPr>
          </w:p>
        </w:tc>
        <w:tc>
          <w:tcPr>
            <w:tcW w:w="3799" w:type="dxa"/>
          </w:tcPr>
          <w:p w:rsidR="0095716D" w:rsidRPr="005B2323" w:rsidRDefault="0095716D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Ripartizione dell’energia potenziale della dieta. ED, EM, EN. Fattori di variazione del metabolismo e dell’efficienza di utilizzazione. Metodo fattoriale di espressione dei fabbisogni</w:t>
            </w:r>
          </w:p>
        </w:tc>
        <w:tc>
          <w:tcPr>
            <w:tcW w:w="855" w:type="dxa"/>
          </w:tcPr>
          <w:p w:rsidR="0095716D" w:rsidRDefault="0095716D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33701" w:rsidRPr="00AB14F5" w:rsidTr="00733701">
        <w:trPr>
          <w:cantSplit/>
          <w:trHeight w:val="20"/>
        </w:trPr>
        <w:tc>
          <w:tcPr>
            <w:tcW w:w="2943" w:type="dxa"/>
            <w:vMerge w:val="restart"/>
          </w:tcPr>
          <w:p w:rsidR="00250676" w:rsidRPr="00AB14F5" w:rsidRDefault="00250676" w:rsidP="00AB14F5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  <w:r>
              <w:rPr>
                <w:caps/>
                <w:sz w:val="24"/>
              </w:rPr>
              <w:t>problematiche tecniche</w:t>
            </w:r>
          </w:p>
          <w:p w:rsidR="00250676" w:rsidRDefault="00250676" w:rsidP="00332A84">
            <w:pPr>
              <w:spacing w:after="120"/>
              <w:ind w:left="284"/>
              <w:rPr>
                <w:caps/>
                <w:sz w:val="24"/>
              </w:rPr>
            </w:pPr>
            <w:r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(</w:t>
            </w:r>
            <w:r w:rsidRPr="0025067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a livello teorico e pratico le competenze necessarie per la </w:t>
            </w:r>
            <w:r w:rsidR="00F732B4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determinazione dei fabbisogni nutrizionali, e la </w:t>
            </w:r>
            <w:r w:rsidRPr="0025067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scelta dei mangimi concentrati, dei foraggi e degli altri alimenti zootecnici, sulla base delle loro principali caratteristiche nutrizionali e dei fa</w:t>
            </w:r>
            <w:r w:rsidR="00F732B4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ttori </w:t>
            </w:r>
            <w:proofErr w:type="spellStart"/>
            <w:r w:rsidR="00F732B4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antinutrizionali</w:t>
            </w:r>
            <w:proofErr w:type="spellEnd"/>
            <w:r w:rsidR="00F732B4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presenti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1867" w:type="dxa"/>
          </w:tcPr>
          <w:p w:rsidR="00250676" w:rsidRPr="00C23750" w:rsidRDefault="005B2323" w:rsidP="00245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Metodi </w:t>
            </w:r>
            <w:r w:rsidR="00245E28">
              <w:rPr>
                <w:sz w:val="24"/>
                <w:szCs w:val="24"/>
              </w:rPr>
              <w:t xml:space="preserve">rapidi di valutazione delle </w:t>
            </w:r>
            <w:r w:rsidR="00250676" w:rsidRPr="00C23750">
              <w:rPr>
                <w:sz w:val="24"/>
                <w:szCs w:val="24"/>
              </w:rPr>
              <w:t>materie prime e dei mangimi composti</w:t>
            </w:r>
          </w:p>
        </w:tc>
        <w:tc>
          <w:tcPr>
            <w:tcW w:w="3799" w:type="dxa"/>
          </w:tcPr>
          <w:p w:rsidR="00250676" w:rsidRPr="005B2323" w:rsidRDefault="005B2323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Determinazione dei principi immediati e dell’energia lorda </w:t>
            </w:r>
          </w:p>
        </w:tc>
        <w:tc>
          <w:tcPr>
            <w:tcW w:w="855" w:type="dxa"/>
          </w:tcPr>
          <w:p w:rsidR="00250676" w:rsidRDefault="005A15B0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33701" w:rsidRPr="00AB14F5" w:rsidTr="00733701">
        <w:trPr>
          <w:cantSplit/>
          <w:trHeight w:val="20"/>
        </w:trPr>
        <w:tc>
          <w:tcPr>
            <w:tcW w:w="2943" w:type="dxa"/>
            <w:vMerge/>
          </w:tcPr>
          <w:p w:rsidR="00245E28" w:rsidRPr="00AB14F5" w:rsidRDefault="00245E28" w:rsidP="003A0773">
            <w:pPr>
              <w:spacing w:after="120"/>
              <w:ind w:left="284"/>
              <w:rPr>
                <w:sz w:val="24"/>
              </w:rPr>
            </w:pPr>
          </w:p>
        </w:tc>
        <w:tc>
          <w:tcPr>
            <w:tcW w:w="1867" w:type="dxa"/>
          </w:tcPr>
          <w:p w:rsidR="00245E28" w:rsidRPr="00245E28" w:rsidRDefault="004315FC" w:rsidP="00431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Importanza della previsione del consumo d’alimenti</w:t>
            </w:r>
          </w:p>
        </w:tc>
        <w:tc>
          <w:tcPr>
            <w:tcW w:w="3799" w:type="dxa"/>
          </w:tcPr>
          <w:p w:rsidR="00245E28" w:rsidRPr="003F2051" w:rsidRDefault="004315FC" w:rsidP="003A0773">
            <w:pPr>
              <w:rPr>
                <w:sz w:val="24"/>
              </w:rPr>
            </w:pPr>
            <w:r>
              <w:rPr>
                <w:sz w:val="24"/>
              </w:rPr>
              <w:t xml:space="preserve">Regolazione del consumo d’alimenti (fisica, chimica, energetica </w:t>
            </w:r>
            <w:proofErr w:type="spellStart"/>
            <w:r>
              <w:rPr>
                <w:sz w:val="24"/>
              </w:rPr>
              <w:t>ecc</w:t>
            </w:r>
            <w:proofErr w:type="spellEnd"/>
            <w:r>
              <w:rPr>
                <w:sz w:val="24"/>
              </w:rPr>
              <w:t>) e fattori di variazione</w:t>
            </w:r>
            <w:r w:rsidR="000365CD">
              <w:rPr>
                <w:sz w:val="24"/>
              </w:rPr>
              <w:t>. Modulazione del contenuto di nutrienti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</w:tcPr>
          <w:p w:rsidR="00245E28" w:rsidRPr="00AB14F5" w:rsidRDefault="00245E28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3701" w:rsidRPr="00AB14F5" w:rsidTr="00733701">
        <w:trPr>
          <w:cantSplit/>
          <w:trHeight w:val="20"/>
        </w:trPr>
        <w:tc>
          <w:tcPr>
            <w:tcW w:w="2943" w:type="dxa"/>
            <w:vMerge/>
          </w:tcPr>
          <w:p w:rsidR="00245E28" w:rsidRPr="00AB14F5" w:rsidRDefault="00245E28" w:rsidP="00AB14F5">
            <w:pPr>
              <w:rPr>
                <w:sz w:val="24"/>
              </w:rPr>
            </w:pPr>
          </w:p>
        </w:tc>
        <w:tc>
          <w:tcPr>
            <w:tcW w:w="1867" w:type="dxa"/>
          </w:tcPr>
          <w:p w:rsidR="00245E28" w:rsidRPr="004315FC" w:rsidRDefault="004315FC" w:rsidP="00AB14F5">
            <w:pPr>
              <w:rPr>
                <w:sz w:val="24"/>
              </w:rPr>
            </w:pPr>
            <w:r w:rsidRPr="004315FC">
              <w:rPr>
                <w:sz w:val="24"/>
              </w:rPr>
              <w:t>I mangimi</w:t>
            </w:r>
          </w:p>
        </w:tc>
        <w:tc>
          <w:tcPr>
            <w:tcW w:w="3799" w:type="dxa"/>
          </w:tcPr>
          <w:p w:rsidR="00245E28" w:rsidRPr="00AB14F5" w:rsidRDefault="004315FC" w:rsidP="00C961C2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I cereali, i sottoprodotti, i concentrati proteici, </w:t>
            </w:r>
            <w:r w:rsidR="005A15B0">
              <w:rPr>
                <w:sz w:val="24"/>
              </w:rPr>
              <w:t xml:space="preserve">i foraggi, </w:t>
            </w:r>
            <w:r>
              <w:rPr>
                <w:sz w:val="24"/>
              </w:rPr>
              <w:t>cenni di altri mangimi</w:t>
            </w:r>
          </w:p>
        </w:tc>
        <w:tc>
          <w:tcPr>
            <w:tcW w:w="855" w:type="dxa"/>
          </w:tcPr>
          <w:p w:rsidR="00245E28" w:rsidRPr="00AB5F3C" w:rsidRDefault="003A7F69" w:rsidP="00AB5F3C">
            <w:pPr>
              <w:jc w:val="center"/>
            </w:pPr>
            <w:r>
              <w:rPr>
                <w:sz w:val="24"/>
              </w:rPr>
              <w:t>7</w:t>
            </w:r>
          </w:p>
        </w:tc>
      </w:tr>
      <w:tr w:rsidR="00733701" w:rsidRPr="00AB14F5" w:rsidTr="00733701">
        <w:trPr>
          <w:cantSplit/>
          <w:trHeight w:val="596"/>
        </w:trPr>
        <w:tc>
          <w:tcPr>
            <w:tcW w:w="2943" w:type="dxa"/>
            <w:vMerge/>
          </w:tcPr>
          <w:p w:rsidR="00245E28" w:rsidRPr="00AB14F5" w:rsidRDefault="00245E28" w:rsidP="00AB14F5">
            <w:pPr>
              <w:rPr>
                <w:sz w:val="24"/>
              </w:rPr>
            </w:pPr>
          </w:p>
        </w:tc>
        <w:tc>
          <w:tcPr>
            <w:tcW w:w="1867" w:type="dxa"/>
          </w:tcPr>
          <w:p w:rsidR="00245E28" w:rsidRPr="00AB14F5" w:rsidRDefault="00245E28" w:rsidP="00733701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Problematiche ulteriori nella </w:t>
            </w:r>
            <w:r w:rsidR="00733701">
              <w:rPr>
                <w:sz w:val="24"/>
              </w:rPr>
              <w:t xml:space="preserve">utilizzazione dei mangimi e </w:t>
            </w:r>
            <w:r>
              <w:rPr>
                <w:sz w:val="24"/>
              </w:rPr>
              <w:t>formulazione delle diete.</w:t>
            </w:r>
          </w:p>
        </w:tc>
        <w:tc>
          <w:tcPr>
            <w:tcW w:w="3799" w:type="dxa"/>
          </w:tcPr>
          <w:p w:rsidR="00733701" w:rsidRDefault="005A15B0" w:rsidP="00245E28">
            <w:pPr>
              <w:rPr>
                <w:sz w:val="24"/>
              </w:rPr>
            </w:pPr>
            <w:r>
              <w:rPr>
                <w:sz w:val="24"/>
              </w:rPr>
              <w:t>La preparazione delle diete ed i</w:t>
            </w:r>
            <w:r w:rsidR="00733701">
              <w:rPr>
                <w:sz w:val="24"/>
              </w:rPr>
              <w:t xml:space="preserve"> principali trattamenti dei mangimi: finalità ed effetti.</w:t>
            </w:r>
          </w:p>
          <w:p w:rsidR="00245E28" w:rsidRDefault="00245E28" w:rsidP="00245E28">
            <w:pPr>
              <w:rPr>
                <w:sz w:val="24"/>
              </w:rPr>
            </w:pPr>
            <w:r>
              <w:rPr>
                <w:sz w:val="24"/>
              </w:rPr>
              <w:t>Cenni: m</w:t>
            </w:r>
            <w:r w:rsidRPr="00D31E7A">
              <w:rPr>
                <w:sz w:val="24"/>
              </w:rPr>
              <w:t xml:space="preserve">icotossine e altri composti </w:t>
            </w:r>
            <w:proofErr w:type="spellStart"/>
            <w:r w:rsidRPr="00D31E7A">
              <w:rPr>
                <w:sz w:val="24"/>
              </w:rPr>
              <w:t>antinutrizionali</w:t>
            </w:r>
            <w:proofErr w:type="spellEnd"/>
            <w:r>
              <w:rPr>
                <w:sz w:val="24"/>
              </w:rPr>
              <w:t xml:space="preserve">. </w:t>
            </w:r>
            <w:r w:rsidRPr="00245E28">
              <w:rPr>
                <w:sz w:val="24"/>
              </w:rPr>
              <w:t>Impiego degli additivi alimentari</w:t>
            </w:r>
            <w:r w:rsidR="00733701">
              <w:rPr>
                <w:sz w:val="24"/>
              </w:rPr>
              <w:t>.</w:t>
            </w:r>
          </w:p>
          <w:p w:rsidR="00733701" w:rsidRPr="00D31E7A" w:rsidRDefault="00733701" w:rsidP="00245E28">
            <w:pPr>
              <w:rPr>
                <w:sz w:val="24"/>
              </w:rPr>
            </w:pPr>
            <w:r>
              <w:rPr>
                <w:sz w:val="24"/>
              </w:rPr>
              <w:t>La formulazione di una dieta</w:t>
            </w:r>
          </w:p>
        </w:tc>
        <w:tc>
          <w:tcPr>
            <w:tcW w:w="855" w:type="dxa"/>
          </w:tcPr>
          <w:p w:rsidR="00245E28" w:rsidRPr="00AB14F5" w:rsidRDefault="005A15B0" w:rsidP="009F2D95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8</w:t>
            </w:r>
          </w:p>
        </w:tc>
      </w:tr>
      <w:tr w:rsidR="00250676" w:rsidRPr="00AB14F5" w:rsidTr="00733701">
        <w:trPr>
          <w:cantSplit/>
        </w:trPr>
        <w:tc>
          <w:tcPr>
            <w:tcW w:w="9464" w:type="dxa"/>
            <w:gridSpan w:val="4"/>
            <w:shd w:val="clear" w:color="auto" w:fill="auto"/>
          </w:tcPr>
          <w:p w:rsidR="00250676" w:rsidRPr="00AB14F5" w:rsidRDefault="00250676" w:rsidP="00E645ED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ESERCITAZIONI, </w:t>
            </w:r>
            <w:r w:rsidRPr="00AB14F5">
              <w:rPr>
                <w:b/>
                <w:sz w:val="24"/>
              </w:rPr>
              <w:t xml:space="preserve">SEMINARI E VISITE </w:t>
            </w:r>
            <w:r>
              <w:rPr>
                <w:b/>
                <w:sz w:val="24"/>
              </w:rPr>
              <w:t>TECNICHE</w:t>
            </w:r>
            <w:r w:rsidRPr="00AB14F5">
              <w:rPr>
                <w:b/>
                <w:sz w:val="24"/>
              </w:rPr>
              <w:t xml:space="preserve"> (</w:t>
            </w:r>
            <w:r w:rsidR="00F43C52">
              <w:rPr>
                <w:b/>
                <w:sz w:val="24"/>
              </w:rPr>
              <w:t>2</w:t>
            </w:r>
            <w:r w:rsidR="00E645ED">
              <w:rPr>
                <w:b/>
                <w:sz w:val="24"/>
              </w:rPr>
              <w:t>4</w:t>
            </w:r>
            <w:r w:rsidRPr="00AB14F5">
              <w:rPr>
                <w:b/>
                <w:sz w:val="24"/>
              </w:rPr>
              <w:t xml:space="preserve"> ore)</w:t>
            </w:r>
          </w:p>
        </w:tc>
      </w:tr>
      <w:tr w:rsidR="00733701" w:rsidRPr="00AB14F5" w:rsidTr="00733701">
        <w:trPr>
          <w:cantSplit/>
        </w:trPr>
        <w:tc>
          <w:tcPr>
            <w:tcW w:w="2943" w:type="dxa"/>
          </w:tcPr>
          <w:p w:rsidR="00250676" w:rsidRPr="00D31E7A" w:rsidRDefault="00250676" w:rsidP="00AB14F5">
            <w:pPr>
              <w:jc w:val="center"/>
              <w:rPr>
                <w:b/>
                <w:sz w:val="24"/>
              </w:rPr>
            </w:pPr>
            <w:r w:rsidRPr="00D31E7A">
              <w:rPr>
                <w:b/>
                <w:sz w:val="24"/>
              </w:rPr>
              <w:t>Temi e competenze acquisite</w:t>
            </w:r>
          </w:p>
        </w:tc>
        <w:tc>
          <w:tcPr>
            <w:tcW w:w="1867" w:type="dxa"/>
          </w:tcPr>
          <w:p w:rsidR="00250676" w:rsidRPr="00D31E7A" w:rsidRDefault="00250676" w:rsidP="00AB14F5">
            <w:pPr>
              <w:jc w:val="center"/>
              <w:rPr>
                <w:b/>
                <w:sz w:val="24"/>
              </w:rPr>
            </w:pPr>
            <w:r w:rsidRPr="00D31E7A">
              <w:rPr>
                <w:b/>
                <w:sz w:val="24"/>
              </w:rPr>
              <w:t>Argomenti</w:t>
            </w:r>
          </w:p>
        </w:tc>
        <w:tc>
          <w:tcPr>
            <w:tcW w:w="3799" w:type="dxa"/>
          </w:tcPr>
          <w:p w:rsidR="00250676" w:rsidRPr="00245E28" w:rsidRDefault="00250676" w:rsidP="00AB14F5">
            <w:pPr>
              <w:jc w:val="center"/>
              <w:rPr>
                <w:b/>
                <w:sz w:val="24"/>
              </w:rPr>
            </w:pPr>
            <w:r w:rsidRPr="00D31E7A">
              <w:rPr>
                <w:b/>
                <w:sz w:val="24"/>
              </w:rPr>
              <w:t xml:space="preserve">Contenuti </w:t>
            </w:r>
            <w:r w:rsidRPr="00245E28">
              <w:rPr>
                <w:b/>
                <w:sz w:val="24"/>
              </w:rPr>
              <w:t>specifici</w:t>
            </w:r>
          </w:p>
        </w:tc>
        <w:tc>
          <w:tcPr>
            <w:tcW w:w="855" w:type="dxa"/>
          </w:tcPr>
          <w:p w:rsidR="00250676" w:rsidRPr="00245E28" w:rsidRDefault="00250676" w:rsidP="001D77FD">
            <w:pPr>
              <w:jc w:val="center"/>
              <w:rPr>
                <w:b/>
                <w:sz w:val="24"/>
              </w:rPr>
            </w:pPr>
            <w:r w:rsidRPr="00245E28">
              <w:rPr>
                <w:b/>
                <w:sz w:val="24"/>
              </w:rPr>
              <w:t xml:space="preserve">Ore </w:t>
            </w:r>
          </w:p>
        </w:tc>
      </w:tr>
      <w:tr w:rsidR="00F43C52" w:rsidRPr="00AB14F5" w:rsidTr="00733701">
        <w:trPr>
          <w:cantSplit/>
          <w:trHeight w:val="20"/>
        </w:trPr>
        <w:tc>
          <w:tcPr>
            <w:tcW w:w="2943" w:type="dxa"/>
            <w:vMerge w:val="restart"/>
          </w:tcPr>
          <w:p w:rsidR="00F43C52" w:rsidRPr="00D12977" w:rsidRDefault="00F43C52" w:rsidP="00B44598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DIDATTICA PRATICA</w:t>
            </w:r>
          </w:p>
        </w:tc>
        <w:tc>
          <w:tcPr>
            <w:tcW w:w="1867" w:type="dxa"/>
          </w:tcPr>
          <w:p w:rsidR="00F43C52" w:rsidRPr="00AB14F5" w:rsidRDefault="00F43C52" w:rsidP="00D47068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Calcolo del valore nutrizionale dei mangimi</w:t>
            </w:r>
          </w:p>
        </w:tc>
        <w:tc>
          <w:tcPr>
            <w:tcW w:w="3799" w:type="dxa"/>
          </w:tcPr>
          <w:p w:rsidR="00F43C52" w:rsidRPr="00AB14F5" w:rsidRDefault="00F43C52" w:rsidP="00AB14F5">
            <w:pPr>
              <w:rPr>
                <w:sz w:val="24"/>
                <w:highlight w:val="yellow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Calcolo delle digeribilità sperimentale, del valore energetico per i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monogastrici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e per i ruminanti. Calcolo delle PDI per i ruminanti</w:t>
            </w:r>
          </w:p>
        </w:tc>
        <w:tc>
          <w:tcPr>
            <w:tcW w:w="855" w:type="dxa"/>
          </w:tcPr>
          <w:p w:rsidR="00F43C52" w:rsidRPr="00AB14F5" w:rsidRDefault="003F2394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43C52" w:rsidRPr="00AB14F5" w:rsidTr="00F43C52">
        <w:trPr>
          <w:cantSplit/>
          <w:trHeight w:val="653"/>
        </w:trPr>
        <w:tc>
          <w:tcPr>
            <w:tcW w:w="2943" w:type="dxa"/>
            <w:vMerge/>
          </w:tcPr>
          <w:p w:rsidR="00F43C52" w:rsidRPr="00B44598" w:rsidRDefault="00F43C52" w:rsidP="00B44598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867" w:type="dxa"/>
          </w:tcPr>
          <w:p w:rsidR="00F43C52" w:rsidRPr="00B44598" w:rsidRDefault="00F43C52" w:rsidP="001D77FD">
            <w:pPr>
              <w:rPr>
                <w:sz w:val="24"/>
              </w:rPr>
            </w:pPr>
            <w:r>
              <w:rPr>
                <w:sz w:val="24"/>
              </w:rPr>
              <w:t>I sistemi di distribuzione dei mangimi</w:t>
            </w:r>
          </w:p>
        </w:tc>
        <w:tc>
          <w:tcPr>
            <w:tcW w:w="3799" w:type="dxa"/>
          </w:tcPr>
          <w:p w:rsidR="00F43C52" w:rsidRDefault="00F43C52" w:rsidP="00F43C52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Visite in stalle per ruminanti e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monogastrici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con diversi sistemi di alimentazione e di distribuzione dei mangimi </w:t>
            </w:r>
          </w:p>
        </w:tc>
        <w:tc>
          <w:tcPr>
            <w:tcW w:w="855" w:type="dxa"/>
          </w:tcPr>
          <w:p w:rsidR="00F43C52" w:rsidRDefault="00F43C52" w:rsidP="00AB14F5">
            <w:pPr>
              <w:jc w:val="center"/>
            </w:pPr>
            <w:r>
              <w:t>1</w:t>
            </w:r>
            <w:r w:rsidR="00295677">
              <w:t>1</w:t>
            </w:r>
          </w:p>
          <w:p w:rsidR="00F43C52" w:rsidRPr="00B44598" w:rsidRDefault="00F43C52" w:rsidP="00AB14F5">
            <w:pPr>
              <w:jc w:val="center"/>
            </w:pPr>
          </w:p>
        </w:tc>
      </w:tr>
      <w:tr w:rsidR="00F43C52" w:rsidRPr="00AB14F5" w:rsidTr="00F43C52">
        <w:trPr>
          <w:cantSplit/>
          <w:trHeight w:val="653"/>
        </w:trPr>
        <w:tc>
          <w:tcPr>
            <w:tcW w:w="2943" w:type="dxa"/>
            <w:vMerge/>
          </w:tcPr>
          <w:p w:rsidR="00F43C52" w:rsidRPr="00B44598" w:rsidRDefault="00F43C52" w:rsidP="00B44598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867" w:type="dxa"/>
          </w:tcPr>
          <w:p w:rsidR="00F43C52" w:rsidRDefault="00F43C52" w:rsidP="001D77FD">
            <w:pPr>
              <w:rPr>
                <w:sz w:val="24"/>
              </w:rPr>
            </w:pPr>
            <w:r>
              <w:rPr>
                <w:sz w:val="24"/>
              </w:rPr>
              <w:t>La formulazione dei mangimi composti</w:t>
            </w:r>
          </w:p>
        </w:tc>
        <w:tc>
          <w:tcPr>
            <w:tcW w:w="3799" w:type="dxa"/>
          </w:tcPr>
          <w:p w:rsidR="00F43C52" w:rsidRDefault="00F43C52" w:rsidP="00F43C52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Avviamento all’ottimizzazione delle formule dei mangimi composti</w:t>
            </w:r>
          </w:p>
        </w:tc>
        <w:tc>
          <w:tcPr>
            <w:tcW w:w="855" w:type="dxa"/>
          </w:tcPr>
          <w:p w:rsidR="00F43C52" w:rsidRDefault="003F2394" w:rsidP="00AB14F5">
            <w:pPr>
              <w:jc w:val="center"/>
            </w:pPr>
            <w:r>
              <w:t>2</w:t>
            </w:r>
          </w:p>
        </w:tc>
      </w:tr>
      <w:tr w:rsidR="00F43C52" w:rsidRPr="00AB14F5" w:rsidTr="00733701">
        <w:trPr>
          <w:cantSplit/>
          <w:trHeight w:val="494"/>
        </w:trPr>
        <w:tc>
          <w:tcPr>
            <w:tcW w:w="2943" w:type="dxa"/>
            <w:vMerge/>
          </w:tcPr>
          <w:p w:rsidR="00F43C52" w:rsidRPr="00B44598" w:rsidRDefault="00F43C52" w:rsidP="00B44598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867" w:type="dxa"/>
          </w:tcPr>
          <w:p w:rsidR="00F43C52" w:rsidRDefault="00F43C52" w:rsidP="00141ED7">
            <w:pPr>
              <w:rPr>
                <w:sz w:val="24"/>
              </w:rPr>
            </w:pPr>
            <w:r>
              <w:rPr>
                <w:sz w:val="24"/>
              </w:rPr>
              <w:t>Visita tecnica ad un mangimificio</w:t>
            </w:r>
          </w:p>
          <w:p w:rsidR="00F43C52" w:rsidRPr="00B44598" w:rsidRDefault="00F43C52" w:rsidP="00141ED7">
            <w:pPr>
              <w:rPr>
                <w:sz w:val="24"/>
              </w:rPr>
            </w:pPr>
          </w:p>
        </w:tc>
        <w:tc>
          <w:tcPr>
            <w:tcW w:w="3799" w:type="dxa"/>
          </w:tcPr>
          <w:p w:rsidR="00F43C52" w:rsidRDefault="00F43C52" w:rsidP="00141ED7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Visita tecnica ad un mangimificio per la produzione di mangimi </w:t>
            </w:r>
          </w:p>
        </w:tc>
        <w:tc>
          <w:tcPr>
            <w:tcW w:w="855" w:type="dxa"/>
          </w:tcPr>
          <w:p w:rsidR="00F43C52" w:rsidRPr="00B44598" w:rsidRDefault="004952AB" w:rsidP="00141ED7">
            <w:pPr>
              <w:jc w:val="center"/>
            </w:pPr>
            <w:r>
              <w:t>3</w:t>
            </w:r>
          </w:p>
        </w:tc>
      </w:tr>
    </w:tbl>
    <w:p w:rsidR="000274A9" w:rsidRDefault="000274A9" w:rsidP="00AC6FEC"/>
    <w:sectPr w:rsidR="000274A9" w:rsidSect="00250676">
      <w:footerReference w:type="default" r:id="rId8"/>
      <w:pgSz w:w="11906" w:h="16838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1B8" w:rsidRDefault="00E951B8">
      <w:pPr>
        <w:spacing w:after="0" w:line="240" w:lineRule="auto"/>
      </w:pPr>
      <w:r>
        <w:separator/>
      </w:r>
    </w:p>
  </w:endnote>
  <w:endnote w:type="continuationSeparator" w:id="0">
    <w:p w:rsidR="00E951B8" w:rsidRDefault="00E9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08598"/>
      <w:docPartObj>
        <w:docPartGallery w:val="Page Numbers (Bottom of Page)"/>
        <w:docPartUnique/>
      </w:docPartObj>
    </w:sdtPr>
    <w:sdtEndPr/>
    <w:sdtContent>
      <w:p w:rsidR="00250676" w:rsidRDefault="00250676" w:rsidP="0025067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70E" w:rsidRPr="0085670E">
          <w:rPr>
            <w:noProof/>
            <w:lang w:val="it-IT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1B8" w:rsidRDefault="00E951B8">
      <w:pPr>
        <w:spacing w:after="0" w:line="240" w:lineRule="auto"/>
      </w:pPr>
      <w:r>
        <w:separator/>
      </w:r>
    </w:p>
  </w:footnote>
  <w:footnote w:type="continuationSeparator" w:id="0">
    <w:p w:rsidR="00E951B8" w:rsidRDefault="00E95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85E"/>
    <w:multiLevelType w:val="hybridMultilevel"/>
    <w:tmpl w:val="AAACF93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58911B6"/>
    <w:multiLevelType w:val="hybridMultilevel"/>
    <w:tmpl w:val="86C46D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C2"/>
    <w:rsid w:val="000274A9"/>
    <w:rsid w:val="000365CD"/>
    <w:rsid w:val="000670E8"/>
    <w:rsid w:val="00071278"/>
    <w:rsid w:val="00087CCB"/>
    <w:rsid w:val="0009061E"/>
    <w:rsid w:val="00093D71"/>
    <w:rsid w:val="000D6F0B"/>
    <w:rsid w:val="001A42B7"/>
    <w:rsid w:val="001D77FD"/>
    <w:rsid w:val="001E6739"/>
    <w:rsid w:val="001F65A0"/>
    <w:rsid w:val="002051B5"/>
    <w:rsid w:val="00245E28"/>
    <w:rsid w:val="00250676"/>
    <w:rsid w:val="00295677"/>
    <w:rsid w:val="00297BD4"/>
    <w:rsid w:val="002A4410"/>
    <w:rsid w:val="002F26B2"/>
    <w:rsid w:val="00332A84"/>
    <w:rsid w:val="0033401C"/>
    <w:rsid w:val="00390904"/>
    <w:rsid w:val="00390A7B"/>
    <w:rsid w:val="003A0773"/>
    <w:rsid w:val="003A7F69"/>
    <w:rsid w:val="003C3D73"/>
    <w:rsid w:val="003F2051"/>
    <w:rsid w:val="003F2394"/>
    <w:rsid w:val="004315FC"/>
    <w:rsid w:val="00465EEA"/>
    <w:rsid w:val="00482EC8"/>
    <w:rsid w:val="004952AB"/>
    <w:rsid w:val="004A009E"/>
    <w:rsid w:val="004A3717"/>
    <w:rsid w:val="00515BF2"/>
    <w:rsid w:val="0057256F"/>
    <w:rsid w:val="00585EA5"/>
    <w:rsid w:val="00596696"/>
    <w:rsid w:val="005A15B0"/>
    <w:rsid w:val="005B229A"/>
    <w:rsid w:val="005B2323"/>
    <w:rsid w:val="005E0BB1"/>
    <w:rsid w:val="006256D8"/>
    <w:rsid w:val="006317C5"/>
    <w:rsid w:val="00640BD8"/>
    <w:rsid w:val="006A04ED"/>
    <w:rsid w:val="006D154B"/>
    <w:rsid w:val="00733701"/>
    <w:rsid w:val="007A0A08"/>
    <w:rsid w:val="007F15A4"/>
    <w:rsid w:val="008111CD"/>
    <w:rsid w:val="00816181"/>
    <w:rsid w:val="0085670E"/>
    <w:rsid w:val="008657C7"/>
    <w:rsid w:val="00873B12"/>
    <w:rsid w:val="008A46E6"/>
    <w:rsid w:val="008D79AF"/>
    <w:rsid w:val="00937D79"/>
    <w:rsid w:val="009479BC"/>
    <w:rsid w:val="0095716D"/>
    <w:rsid w:val="009962B1"/>
    <w:rsid w:val="009A05AD"/>
    <w:rsid w:val="009B5753"/>
    <w:rsid w:val="009F2967"/>
    <w:rsid w:val="009F2D95"/>
    <w:rsid w:val="00A20E3F"/>
    <w:rsid w:val="00A270DB"/>
    <w:rsid w:val="00A844A4"/>
    <w:rsid w:val="00AB14F5"/>
    <w:rsid w:val="00AB5F3C"/>
    <w:rsid w:val="00AC0DCE"/>
    <w:rsid w:val="00AC6FEC"/>
    <w:rsid w:val="00AE4104"/>
    <w:rsid w:val="00B02CD8"/>
    <w:rsid w:val="00B161EB"/>
    <w:rsid w:val="00B22E98"/>
    <w:rsid w:val="00B44598"/>
    <w:rsid w:val="00B531F1"/>
    <w:rsid w:val="00B93BBC"/>
    <w:rsid w:val="00BA504B"/>
    <w:rsid w:val="00C23750"/>
    <w:rsid w:val="00C77241"/>
    <w:rsid w:val="00C961C2"/>
    <w:rsid w:val="00CC496F"/>
    <w:rsid w:val="00CE0220"/>
    <w:rsid w:val="00CF5025"/>
    <w:rsid w:val="00D0360E"/>
    <w:rsid w:val="00D12977"/>
    <w:rsid w:val="00D31E7A"/>
    <w:rsid w:val="00D44749"/>
    <w:rsid w:val="00D47068"/>
    <w:rsid w:val="00D662C2"/>
    <w:rsid w:val="00DB0F1A"/>
    <w:rsid w:val="00DB65F2"/>
    <w:rsid w:val="00E645ED"/>
    <w:rsid w:val="00E8416B"/>
    <w:rsid w:val="00E93481"/>
    <w:rsid w:val="00E951B8"/>
    <w:rsid w:val="00EA5685"/>
    <w:rsid w:val="00EC4701"/>
    <w:rsid w:val="00EF47C4"/>
    <w:rsid w:val="00F2125E"/>
    <w:rsid w:val="00F341D7"/>
    <w:rsid w:val="00F43C52"/>
    <w:rsid w:val="00F7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F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B14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4F5"/>
    <w:pPr>
      <w:spacing w:line="240" w:lineRule="auto"/>
    </w:pPr>
    <w:rPr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4F5"/>
    <w:rPr>
      <w:sz w:val="20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B14F5"/>
    <w:pPr>
      <w:tabs>
        <w:tab w:val="center" w:pos="4819"/>
        <w:tab w:val="right" w:pos="9638"/>
      </w:tabs>
      <w:spacing w:after="0" w:line="240" w:lineRule="auto"/>
    </w:pPr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4F5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4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6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F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B14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4F5"/>
    <w:pPr>
      <w:spacing w:line="240" w:lineRule="auto"/>
    </w:pPr>
    <w:rPr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4F5"/>
    <w:rPr>
      <w:sz w:val="20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B14F5"/>
    <w:pPr>
      <w:tabs>
        <w:tab w:val="center" w:pos="4819"/>
        <w:tab w:val="right" w:pos="9638"/>
      </w:tabs>
      <w:spacing w:after="0" w:line="240" w:lineRule="auto"/>
    </w:pPr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4F5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4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6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1004EF569F6E42B07D0E452ED9CC0B" ma:contentTypeVersion="1" ma:contentTypeDescription="Creare un nuovo documento." ma:contentTypeScope="" ma:versionID="8e5aa508512a7cb14e32053321946f7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23D03C-0830-4442-B1D8-B6694024227A}"/>
</file>

<file path=customXml/itemProps2.xml><?xml version="1.0" encoding="utf-8"?>
<ds:datastoreItem xmlns:ds="http://schemas.openxmlformats.org/officeDocument/2006/customXml" ds:itemID="{FB7A79F8-4F26-40A9-B8E5-D1188450B502}"/>
</file>

<file path=customXml/itemProps3.xml><?xml version="1.0" encoding="utf-8"?>
<ds:datastoreItem xmlns:ds="http://schemas.openxmlformats.org/officeDocument/2006/customXml" ds:itemID="{1D1AB837-2E69-4887-9201-EFFA3B534E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Cavani</dc:creator>
  <cp:lastModifiedBy>Adele Meluzzi</cp:lastModifiedBy>
  <cp:revision>3</cp:revision>
  <dcterms:created xsi:type="dcterms:W3CDTF">2017-05-09T08:57:00Z</dcterms:created>
  <dcterms:modified xsi:type="dcterms:W3CDTF">2017-05-09T08:59:00Z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0x010100441004EF569F6E42B07D0E452ED9CC0B</vt:lpwstr>
  </property>
</Properties>
</file>