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7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6"/>
        <w:gridCol w:w="28"/>
        <w:gridCol w:w="2513"/>
        <w:gridCol w:w="22"/>
        <w:gridCol w:w="4496"/>
        <w:gridCol w:w="782"/>
      </w:tblGrid>
      <w:tr w:rsidR="00D80DC0" w:rsidRPr="00891CA6" w:rsidTr="00D80DC0">
        <w:trPr>
          <w:cantSplit/>
          <w:trHeight w:val="1134"/>
          <w:tblCellSpacing w:w="7" w:type="dxa"/>
          <w:jc w:val="center"/>
        </w:trPr>
        <w:tc>
          <w:tcPr>
            <w:tcW w:w="10539" w:type="dxa"/>
            <w:gridSpan w:val="6"/>
          </w:tcPr>
          <w:p w:rsidR="00D80DC0" w:rsidRDefault="00D80DC0" w:rsidP="00BC74E5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C.I Microbiologia applicata alle produzioni animali e Igiene degli alimenti</w:t>
            </w:r>
          </w:p>
          <w:p w:rsidR="00D80DC0" w:rsidRDefault="00D80DC0" w:rsidP="00D32778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Insegnamento di   Microbiologia applicata alle produzioni animali</w:t>
            </w:r>
          </w:p>
          <w:p w:rsidR="00D80DC0" w:rsidRPr="00785A0D" w:rsidRDefault="00D80DC0" w:rsidP="00D32778">
            <w:pPr>
              <w:ind w:firstLine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(6 CFU;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40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lezion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frontal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e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0502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esercitazioni e visite tecniche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  <w:p w:rsidR="00D80DC0" w:rsidRPr="00785A0D" w:rsidRDefault="00D80DC0" w:rsidP="00BC74E5">
            <w:pPr>
              <w:tabs>
                <w:tab w:val="left" w:pos="3399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Corso di laurea: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Produzioni Animali e Controllo della Fauna Selvatica</w:t>
            </w:r>
          </w:p>
          <w:p w:rsidR="00D80DC0" w:rsidRPr="00785A0D" w:rsidRDefault="00D80DC0" w:rsidP="00BC74E5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Scuola di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Agraria e Medicina Veterinaria</w:t>
            </w:r>
          </w:p>
          <w:p w:rsidR="00D80DC0" w:rsidRPr="00891CA6" w:rsidRDefault="00D80DC0" w:rsidP="00D32778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Luigi Grazia</w:t>
            </w:r>
          </w:p>
        </w:tc>
      </w:tr>
      <w:tr w:rsidR="00D80DC0" w:rsidRPr="00891CA6" w:rsidTr="00D80DC0">
        <w:trPr>
          <w:cantSplit/>
          <w:trHeight w:val="1134"/>
          <w:tblCellSpacing w:w="7" w:type="dxa"/>
          <w:jc w:val="center"/>
        </w:trPr>
        <w:tc>
          <w:tcPr>
            <w:tcW w:w="10539" w:type="dxa"/>
            <w:gridSpan w:val="6"/>
          </w:tcPr>
          <w:p w:rsidR="00D80DC0" w:rsidRPr="00891CA6" w:rsidRDefault="00D80DC0" w:rsidP="00BC74E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D80DC0" w:rsidRPr="00785A0D" w:rsidRDefault="00D80DC0" w:rsidP="00936A3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LEZIONI FRONTALI (</w:t>
            </w:r>
            <w:r w:rsidR="00EC72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40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ore)</w:t>
            </w:r>
          </w:p>
        </w:tc>
      </w:tr>
      <w:tr w:rsidR="00D80DC0" w:rsidRPr="00891CA6" w:rsidTr="007F303D">
        <w:trPr>
          <w:trHeight w:val="1118"/>
          <w:tblCellSpacing w:w="7" w:type="dxa"/>
          <w:jc w:val="center"/>
        </w:trPr>
        <w:tc>
          <w:tcPr>
            <w:tcW w:w="2733" w:type="dxa"/>
            <w:gridSpan w:val="2"/>
          </w:tcPr>
          <w:p w:rsidR="00D80DC0" w:rsidRPr="00785A0D" w:rsidRDefault="00D80DC0" w:rsidP="00687D2F">
            <w:pPr>
              <w:ind w:right="-137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Temi e competenze</w:t>
            </w:r>
          </w:p>
        </w:tc>
        <w:tc>
          <w:tcPr>
            <w:tcW w:w="2521" w:type="dxa"/>
            <w:gridSpan w:val="2"/>
            <w:vAlign w:val="center"/>
          </w:tcPr>
          <w:p w:rsidR="00D80DC0" w:rsidRPr="00785A0D" w:rsidRDefault="00D80DC0" w:rsidP="00687D2F">
            <w:pPr>
              <w:ind w:right="-137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Argomenti</w:t>
            </w:r>
          </w:p>
        </w:tc>
        <w:tc>
          <w:tcPr>
            <w:tcW w:w="4482" w:type="dxa"/>
            <w:vAlign w:val="center"/>
          </w:tcPr>
          <w:p w:rsidR="00D80DC0" w:rsidRPr="00785A0D" w:rsidRDefault="00D80DC0" w:rsidP="00687D2F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Contenuti specifici</w:t>
            </w:r>
          </w:p>
        </w:tc>
        <w:tc>
          <w:tcPr>
            <w:tcW w:w="761" w:type="dxa"/>
            <w:vAlign w:val="center"/>
          </w:tcPr>
          <w:p w:rsidR="00D80DC0" w:rsidRPr="00785A0D" w:rsidRDefault="00D80DC0" w:rsidP="00BC74E5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D80DC0" w:rsidRPr="00891CA6" w:rsidTr="00153006">
        <w:trPr>
          <w:trHeight w:val="469"/>
          <w:tblCellSpacing w:w="7" w:type="dxa"/>
          <w:jc w:val="center"/>
        </w:trPr>
        <w:tc>
          <w:tcPr>
            <w:tcW w:w="2733" w:type="dxa"/>
            <w:gridSpan w:val="2"/>
            <w:vMerge w:val="restart"/>
          </w:tcPr>
          <w:p w:rsidR="00D80DC0" w:rsidRPr="005B1C45" w:rsidRDefault="00D80DC0" w:rsidP="005B1C45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FONDAMENTI 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CONOSCENZE DI BASE</w:t>
            </w:r>
          </w:p>
          <w:p w:rsidR="00D80DC0" w:rsidRPr="00891CA6" w:rsidRDefault="00D80DC0" w:rsidP="00A235F5">
            <w:pPr>
              <w:pStyle w:val="Paragrafoelenco"/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studente acquisirà le conoscenze </w:t>
            </w:r>
            <w:r w:rsidRPr="005B46C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di biologia dei microrganismi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</w:t>
            </w:r>
            <w:r w:rsidRPr="005B46C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ndispensabili per affrontare temi di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microbiologia del terreno</w:t>
            </w:r>
            <w:r w:rsidRPr="005B46C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del tratto intestinale dei monogastrici e poligastrici,e di microbiologia degli alimenti fermentati sia per gli animali sia per l’uomo (feed and food</w:t>
            </w:r>
            <w:r w:rsidR="004C4E0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521" w:type="dxa"/>
            <w:gridSpan w:val="2"/>
            <w:vMerge w:val="restart"/>
          </w:tcPr>
          <w:p w:rsidR="00D80DC0" w:rsidRPr="00891CA6" w:rsidRDefault="00D80DC0" w:rsidP="00376F96">
            <w:pPr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Generalità</w:t>
            </w:r>
          </w:p>
        </w:tc>
        <w:tc>
          <w:tcPr>
            <w:tcW w:w="4482" w:type="dxa"/>
            <w:vAlign w:val="center"/>
          </w:tcPr>
          <w:p w:rsidR="00D80DC0" w:rsidRDefault="00D80DC0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svolgimento dell’insegnamento</w:t>
            </w:r>
          </w:p>
          <w:p w:rsidR="00D80DC0" w:rsidRPr="00891CA6" w:rsidRDefault="003F267F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 contenuti ,il materiale di studio,</w:t>
            </w:r>
          </w:p>
          <w:p w:rsidR="00D80DC0" w:rsidRPr="00891CA6" w:rsidRDefault="003F267F" w:rsidP="00F8397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4C4E0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</w:t>
            </w:r>
            <w:r w:rsidR="00D80DC0"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odalità di valutazione del profitto</w:t>
            </w:r>
          </w:p>
        </w:tc>
        <w:tc>
          <w:tcPr>
            <w:tcW w:w="761" w:type="dxa"/>
            <w:vAlign w:val="center"/>
          </w:tcPr>
          <w:p w:rsidR="00D80DC0" w:rsidRPr="00891CA6" w:rsidRDefault="00D80DC0" w:rsidP="00CE0C90">
            <w:pPr>
              <w:widowControl w:val="0"/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891CA6" w:rsidTr="00153006">
        <w:trPr>
          <w:trHeight w:val="469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5B1C45" w:rsidRDefault="00D80DC0" w:rsidP="005B1C45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</w:tcPr>
          <w:p w:rsidR="00D80DC0" w:rsidRPr="00891CA6" w:rsidRDefault="00D80DC0" w:rsidP="00376F96">
            <w:pPr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  <w:vAlign w:val="center"/>
          </w:tcPr>
          <w:p w:rsidR="00E45E96" w:rsidRDefault="00D80DC0" w:rsidP="00B023A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Breve storia della microbiologia da  Antonie Van Leeuwe</w:t>
            </w:r>
            <w:r w:rsidR="004C4E0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nhoek al  David Hendricks Bergey</w:t>
            </w:r>
            <w:r w:rsidR="00E45E9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.</w:t>
            </w:r>
          </w:p>
          <w:p w:rsidR="00D80DC0" w:rsidRPr="00891CA6" w:rsidRDefault="00E45E96" w:rsidP="00B023A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</w:t>
            </w:r>
            <w:r w:rsidR="00D80DC0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microbi e il ciclo naturale della sostanza organica</w:t>
            </w:r>
          </w:p>
          <w:p w:rsidR="00D80DC0" w:rsidRPr="00891CA6" w:rsidRDefault="00D80DC0" w:rsidP="00183D66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vAlign w:val="center"/>
          </w:tcPr>
          <w:p w:rsidR="00D80DC0" w:rsidRDefault="00D80DC0" w:rsidP="00CE0C90">
            <w:pPr>
              <w:widowControl w:val="0"/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891CA6" w:rsidTr="00153006">
        <w:trPr>
          <w:trHeight w:val="2329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891CA6" w:rsidRDefault="00D80DC0" w:rsidP="00891CA6">
            <w:pPr>
              <w:ind w:left="-36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 w:rsidR="00D80DC0" w:rsidRPr="00891CA6" w:rsidRDefault="00D80DC0" w:rsidP="00B023A5">
            <w:pPr>
              <w:ind w:left="242" w:firstLine="0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Morfologia e citologia</w:t>
            </w:r>
          </w:p>
        </w:tc>
        <w:tc>
          <w:tcPr>
            <w:tcW w:w="4482" w:type="dxa"/>
            <w:vAlign w:val="center"/>
          </w:tcPr>
          <w:p w:rsidR="00D80DC0" w:rsidRPr="00891CA6" w:rsidRDefault="00D80DC0" w:rsidP="009554C7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Morfologia e funzioni della cellula procariota: differenze fra  la cellula dei </w:t>
            </w:r>
            <w:r w:rsidRPr="009554C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it-IT"/>
              </w:rPr>
              <w:t>Bacteria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quella degli </w:t>
            </w:r>
            <w:r w:rsidRPr="009554C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it-IT"/>
              </w:rPr>
              <w:t>Archea</w:t>
            </w:r>
          </w:p>
        </w:tc>
        <w:tc>
          <w:tcPr>
            <w:tcW w:w="761" w:type="dxa"/>
          </w:tcPr>
          <w:p w:rsidR="00D80DC0" w:rsidRPr="00891CA6" w:rsidRDefault="00D80DC0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891CA6" w:rsidTr="00153006">
        <w:trPr>
          <w:trHeight w:val="668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891CA6" w:rsidRDefault="00D80DC0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Pr="00891CA6" w:rsidRDefault="00D80DC0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  <w:vAlign w:val="center"/>
          </w:tcPr>
          <w:p w:rsidR="00D80DC0" w:rsidRDefault="00D80DC0" w:rsidP="00C929A3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Morfologia  e citologia</w:t>
            </w:r>
          </w:p>
          <w:p w:rsidR="00D80DC0" w:rsidRPr="00891CA6" w:rsidRDefault="00D80DC0" w:rsidP="00C929A3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Dei microorganismi eucarioti: Funghi unicellulari e filamentosi: lieviti e muffe</w:t>
            </w:r>
          </w:p>
        </w:tc>
        <w:tc>
          <w:tcPr>
            <w:tcW w:w="761" w:type="dxa"/>
          </w:tcPr>
          <w:p w:rsidR="00D80DC0" w:rsidRPr="00891CA6" w:rsidRDefault="00D80DC0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891CA6" w:rsidTr="00153006">
        <w:trPr>
          <w:trHeight w:val="271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891CA6" w:rsidRDefault="00D80DC0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80DC0" w:rsidRPr="00376F96" w:rsidRDefault="00D80DC0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Tecniche microscopiche</w:t>
            </w:r>
          </w:p>
        </w:tc>
        <w:tc>
          <w:tcPr>
            <w:tcW w:w="4482" w:type="dxa"/>
            <w:vAlign w:val="center"/>
          </w:tcPr>
          <w:p w:rsidR="00D80DC0" w:rsidRDefault="00D80DC0" w:rsidP="00334470">
            <w:pPr>
              <w:ind w:firstLine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Il microscopio : principali microscopi ottici, preparazione dei campioni.</w:t>
            </w:r>
          </w:p>
          <w:p w:rsidR="00D80DC0" w:rsidRDefault="00D80DC0" w:rsidP="00334470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Microscopia elettronica : microscopio elettronico a scansione e a trasmissione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61" w:type="dxa"/>
          </w:tcPr>
          <w:p w:rsidR="00D80DC0" w:rsidRPr="00891CA6" w:rsidRDefault="00D80DC0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80DC0" w:rsidRPr="00891CA6" w:rsidTr="00153006">
        <w:trPr>
          <w:trHeight w:val="271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891CA6" w:rsidRDefault="00D80DC0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 w:rsidR="00D80DC0" w:rsidRDefault="00D80DC0" w:rsidP="00B023A5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crescita microbica e metabolismo</w:t>
            </w:r>
          </w:p>
        </w:tc>
        <w:tc>
          <w:tcPr>
            <w:tcW w:w="4482" w:type="dxa"/>
            <w:vAlign w:val="center"/>
          </w:tcPr>
          <w:p w:rsidR="00D80DC0" w:rsidRPr="00891CA6" w:rsidRDefault="00D80DC0" w:rsidP="00F8397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coltura pura e nutrizione microbica, composizione della cellula batterica. I macro e microelementi,</w:t>
            </w:r>
            <w:r w:rsidR="00E45E9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fattori di crescita. Assimilazione dei nutrienti.</w:t>
            </w:r>
          </w:p>
        </w:tc>
        <w:tc>
          <w:tcPr>
            <w:tcW w:w="761" w:type="dxa"/>
          </w:tcPr>
          <w:p w:rsidR="00D80DC0" w:rsidRDefault="00D80DC0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891CA6" w:rsidTr="00153006">
        <w:trPr>
          <w:trHeight w:val="271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891CA6" w:rsidRDefault="00D80DC0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Pr="00376F96" w:rsidRDefault="00D80DC0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  <w:vAlign w:val="center"/>
          </w:tcPr>
          <w:p w:rsidR="00D80DC0" w:rsidRDefault="00D80DC0" w:rsidP="00641926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 mcrobi e l’ambiente: effetto della temperatura,</w:t>
            </w:r>
            <w:r w:rsidR="00E45E9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del pH, dell’ossigeno,della concentrazione dei sali  e</w:t>
            </w:r>
            <w:r w:rsidR="00D5736A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degli zuccheri.</w:t>
            </w:r>
          </w:p>
          <w:p w:rsidR="00D80DC0" w:rsidRDefault="00D80DC0" w:rsidP="00641926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spora batterica</w:t>
            </w:r>
          </w:p>
        </w:tc>
        <w:tc>
          <w:tcPr>
            <w:tcW w:w="761" w:type="dxa"/>
          </w:tcPr>
          <w:p w:rsidR="00D80DC0" w:rsidRPr="00891CA6" w:rsidRDefault="00D80DC0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B82226" w:rsidTr="00153006">
        <w:trPr>
          <w:trHeight w:val="271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  <w:vAlign w:val="center"/>
          </w:tcPr>
          <w:p w:rsidR="00D80DC0" w:rsidRPr="00B82226" w:rsidRDefault="00D80DC0" w:rsidP="009573FA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 mezzi nutritivi: brodi,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terreni,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mezzi semisintetici e sintetici.</w:t>
            </w:r>
          </w:p>
          <w:p w:rsidR="00D80DC0" w:rsidRPr="00B82226" w:rsidRDefault="00D80DC0" w:rsidP="009573FA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Isolamento e conservazione della colture pure</w:t>
            </w:r>
          </w:p>
        </w:tc>
        <w:tc>
          <w:tcPr>
            <w:tcW w:w="761" w:type="dxa"/>
          </w:tcPr>
          <w:p w:rsidR="00D80DC0" w:rsidRPr="00B82226" w:rsidRDefault="00D573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B82226" w:rsidTr="00153006">
        <w:trPr>
          <w:trHeight w:val="271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Pr="00376F9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  <w:vAlign w:val="center"/>
          </w:tcPr>
          <w:p w:rsidR="00D80DC0" w:rsidRPr="00B82226" w:rsidRDefault="00D80DC0" w:rsidP="00BC74E5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La curva di crescita, velocità della crescita microbica. Tecniche per la misura della crescita microbica</w:t>
            </w:r>
          </w:p>
        </w:tc>
        <w:tc>
          <w:tcPr>
            <w:tcW w:w="761" w:type="dxa"/>
          </w:tcPr>
          <w:p w:rsidR="00D80DC0" w:rsidRPr="00B82226" w:rsidRDefault="00BE4F3B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B82226" w:rsidTr="00153006">
        <w:trPr>
          <w:trHeight w:val="535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D80DC0" w:rsidRDefault="00D80DC0" w:rsidP="00173F88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Controllo della crescita microbica: agenti fisici,chimici e biologici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(antibiotici e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batteriocine)</w:t>
            </w:r>
          </w:p>
          <w:p w:rsidR="00E45E96" w:rsidRPr="00B82226" w:rsidRDefault="00E45E96" w:rsidP="00173F88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D80DC0" w:rsidRPr="00B82226" w:rsidTr="00153006">
        <w:trPr>
          <w:trHeight w:val="1190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 w:rsidR="00D80DC0" w:rsidRDefault="00D80DC0" w:rsidP="00B023A5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Metabolismo microbico</w:t>
            </w:r>
          </w:p>
        </w:tc>
        <w:tc>
          <w:tcPr>
            <w:tcW w:w="4482" w:type="dxa"/>
          </w:tcPr>
          <w:p w:rsidR="00D80DC0" w:rsidRPr="00B82226" w:rsidRDefault="00D80DC0" w:rsidP="00F8397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Metabolismo energetico e catabolismo: respirazione aerobica dei composti organici. Ossidazioni incomplete. Resp</w:t>
            </w:r>
            <w:r w:rsidR="006F0D97">
              <w:rPr>
                <w:rFonts w:ascii="Calibri" w:eastAsia="Batang" w:hAnsi="Calibri"/>
                <w:sz w:val="24"/>
                <w:szCs w:val="24"/>
                <w:lang w:eastAsia="it-IT"/>
              </w:rPr>
              <w:t>i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razione dei composti inorganici. Respirazione anaerobica: nitrato riduzione dissimilativa,solfo riduzione, metanogenesi</w:t>
            </w:r>
          </w:p>
        </w:tc>
        <w:tc>
          <w:tcPr>
            <w:tcW w:w="761" w:type="dxa"/>
          </w:tcPr>
          <w:p w:rsidR="00D80DC0" w:rsidRPr="00B82226" w:rsidRDefault="00BE4F3B" w:rsidP="00AC2E7F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B82226" w:rsidTr="00153006">
        <w:trPr>
          <w:trHeight w:val="584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D80DC0" w:rsidRPr="00B82226" w:rsidRDefault="00D80DC0" w:rsidP="00EB6270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La fermentazione: alcolica,omolattica,etero lattica, acido mista, 2,3butilenglicolica, propionica, butirrica ,omoacetica, dei bifidobatteri,fermentazione dei composti azotati.</w:t>
            </w:r>
          </w:p>
          <w:p w:rsidR="00D80DC0" w:rsidRPr="00B82226" w:rsidRDefault="00D80DC0" w:rsidP="00EB6270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F</w:t>
            </w:r>
            <w:r w:rsidR="006F0D97">
              <w:rPr>
                <w:rFonts w:ascii="Calibri" w:eastAsia="Batang" w:hAnsi="Calibri"/>
                <w:sz w:val="24"/>
                <w:szCs w:val="24"/>
                <w:lang w:eastAsia="it-IT"/>
              </w:rPr>
              <w:t>o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tosintesi ossigenica e anossigenica</w:t>
            </w:r>
          </w:p>
          <w:p w:rsidR="00D80DC0" w:rsidRPr="00B82226" w:rsidRDefault="00D80DC0" w:rsidP="00EB6270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D80DC0" w:rsidRPr="00B82226" w:rsidTr="00153006">
        <w:trPr>
          <w:trHeight w:val="691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D80DC0" w:rsidRPr="00B82226" w:rsidRDefault="00D80DC0" w:rsidP="0043203B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Metabolismo bios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intetico. Regolazione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dell’attività enzimatica, della sintesi enzimatica</w:t>
            </w:r>
          </w:p>
          <w:p w:rsidR="00D80DC0" w:rsidRPr="00B82226" w:rsidRDefault="00D80DC0" w:rsidP="0043203B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</w:tcPr>
          <w:p w:rsidR="00D80DC0" w:rsidRPr="00B82226" w:rsidRDefault="00BE4F3B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B82226" w:rsidTr="00153006">
        <w:trPr>
          <w:trHeight w:val="691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80DC0" w:rsidRPr="00376F9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Genetica</w:t>
            </w:r>
          </w:p>
        </w:tc>
        <w:tc>
          <w:tcPr>
            <w:tcW w:w="4482" w:type="dxa"/>
          </w:tcPr>
          <w:p w:rsidR="00D80DC0" w:rsidRPr="00B82226" w:rsidRDefault="00D80DC0" w:rsidP="00EC0B6A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Il cromosoma batterico, ricombinazione e mutazione, tra</w:t>
            </w:r>
            <w:r w:rsidR="006F0D97">
              <w:rPr>
                <w:rFonts w:ascii="Calibri" w:eastAsia="Batang" w:hAnsi="Calibri"/>
                <w:sz w:val="24"/>
                <w:szCs w:val="24"/>
                <w:lang w:eastAsia="it-IT"/>
              </w:rPr>
              <w:t>sferimenti genetici orizzontali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,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lastRenderedPageBreak/>
              <w:t>trasformazione, coniugazione. I plasmidi. Sequenze di inserzione e trasposoni</w:t>
            </w:r>
          </w:p>
        </w:tc>
        <w:tc>
          <w:tcPr>
            <w:tcW w:w="761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lastRenderedPageBreak/>
              <w:t>2</w:t>
            </w:r>
          </w:p>
        </w:tc>
      </w:tr>
      <w:tr w:rsidR="00D80DC0" w:rsidRPr="00B82226" w:rsidTr="00153006">
        <w:trPr>
          <w:trHeight w:val="3412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Elementi di virologia</w:t>
            </w:r>
          </w:p>
        </w:tc>
        <w:tc>
          <w:tcPr>
            <w:tcW w:w="4482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 virus, struttura,classificazione,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le varie fasi della replicazione,  quantificazione delle particelle virali.</w:t>
            </w:r>
          </w:p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 batteriofagi, i fagi virulenti e temperati</w:t>
            </w:r>
          </w:p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La trasduzione</w:t>
            </w:r>
          </w:p>
        </w:tc>
        <w:tc>
          <w:tcPr>
            <w:tcW w:w="761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D80DC0" w:rsidRPr="00B82226" w:rsidTr="00153006">
        <w:trPr>
          <w:trHeight w:val="2209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Classificazione dei batter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i.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Schema della classificazione attuale dei principali gruppi microbici e generi per le produzioni animali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br/>
            </w:r>
          </w:p>
        </w:tc>
        <w:tc>
          <w:tcPr>
            <w:tcW w:w="4482" w:type="dxa"/>
          </w:tcPr>
          <w:p w:rsidR="00D80DC0" w:rsidRPr="00B82226" w:rsidRDefault="00216969" w:rsidP="00115FC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C</w:t>
            </w:r>
            <w:r w:rsidR="00D80DC0"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enni storici, classificazione del Bergey. Criteri di classificazione. </w:t>
            </w:r>
          </w:p>
        </w:tc>
        <w:tc>
          <w:tcPr>
            <w:tcW w:w="761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D80DC0" w:rsidRPr="00B82226" w:rsidTr="00153006">
        <w:trPr>
          <w:trHeight w:val="2208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Batteri utili o virtuosi: Kocuria, Stafilococchi. Batteri lattici, Batteri propionici, Bifidobatteri.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br/>
              <w:t>Batteri alteranti: Pseudomonas, Enterobatteri, Batteri butirrici.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br/>
              <w:t>Batteri tossigeni e patogeni: Campylobacter,</w:t>
            </w:r>
          </w:p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 Brucella,  Mycobacterium tubercolosis, Listeria, </w:t>
            </w:r>
          </w:p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Staphylococcus, Yersinia, Clostridium.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br/>
            </w:r>
          </w:p>
        </w:tc>
        <w:tc>
          <w:tcPr>
            <w:tcW w:w="761" w:type="dxa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F46A6A" w:rsidRPr="00B82226" w:rsidTr="00153006">
        <w:trPr>
          <w:trHeight w:val="3412"/>
          <w:tblCellSpacing w:w="7" w:type="dxa"/>
          <w:jc w:val="center"/>
        </w:trPr>
        <w:tc>
          <w:tcPr>
            <w:tcW w:w="2733" w:type="dxa"/>
            <w:gridSpan w:val="2"/>
            <w:vMerge w:val="restart"/>
          </w:tcPr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Pr="00B82226" w:rsidRDefault="00F46A6A" w:rsidP="00F46A6A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Microbiologia applic</w:t>
            </w:r>
            <w:r w:rsidR="009C7367">
              <w:rPr>
                <w:rFonts w:ascii="Calibri" w:eastAsia="Batang" w:hAnsi="Calibri"/>
                <w:sz w:val="24"/>
                <w:szCs w:val="24"/>
                <w:lang w:eastAsia="it-IT"/>
              </w:rPr>
              <w:t>a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ta alle produzioni animali </w:t>
            </w:r>
            <w:r w:rsidR="009C7367">
              <w:rPr>
                <w:rFonts w:ascii="Calibri" w:eastAsia="Batang" w:hAnsi="Calibri"/>
                <w:sz w:val="24"/>
                <w:szCs w:val="24"/>
                <w:lang w:eastAsia="it-IT"/>
              </w:rPr>
              <w:t>: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lo studente acquisirà le competenze di microbiologia del terreno e di microbiologia del tratto digerente di monogastrici e ruminanti; acquisirà le conoscenze per la gestione delle principali fermentazioni idonee alla trasformazione degli alimenti e la microbiologia degli insilati, nonché le basi per affrontare gli argomenti di igiene degli alimenti. In particolare lo studente sarà in grado di gestire gli elementi della bio-fertilità del suolo, le tecniche di insilamento e le principali fermentazioni alla base dell'attività lattiero casearia e del salumificio </w:t>
            </w:r>
          </w:p>
        </w:tc>
        <w:tc>
          <w:tcPr>
            <w:tcW w:w="2521" w:type="dxa"/>
            <w:gridSpan w:val="2"/>
            <w:vAlign w:val="center"/>
          </w:tcPr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I microbi del terreno </w:t>
            </w:r>
          </w:p>
        </w:tc>
        <w:tc>
          <w:tcPr>
            <w:tcW w:w="4482" w:type="dxa"/>
          </w:tcPr>
          <w:p w:rsidR="00E45E96" w:rsidRDefault="00F46A6A" w:rsidP="005112B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C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iclo dell'azoto.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</w:p>
          <w:p w:rsidR="00E45E96" w:rsidRDefault="00F46A6A" w:rsidP="005112B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A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zo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>tofissazione: l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ibera aerobia e anaerobia.</w:t>
            </w:r>
          </w:p>
          <w:p w:rsidR="006F0D97" w:rsidRDefault="00F46A6A" w:rsidP="005112B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I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principali gruppi microbici</w:t>
            </w:r>
            <w:r w:rsidR="006F0D97">
              <w:rPr>
                <w:rFonts w:ascii="Calibri" w:eastAsia="Batang" w:hAnsi="Calibri"/>
                <w:sz w:val="24"/>
                <w:szCs w:val="24"/>
                <w:lang w:eastAsia="it-IT"/>
              </w:rPr>
              <w:t>.</w:t>
            </w:r>
          </w:p>
          <w:p w:rsidR="00BE731E" w:rsidRDefault="00BE731E" w:rsidP="005112B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A</w:t>
            </w:r>
            <w:r w:rsidR="00F46A6A">
              <w:rPr>
                <w:rFonts w:ascii="Calibri" w:eastAsia="Batang" w:hAnsi="Calibri"/>
                <w:sz w:val="24"/>
                <w:szCs w:val="24"/>
                <w:lang w:eastAsia="it-IT"/>
              </w:rPr>
              <w:t>zotofossazione simbionte</w:t>
            </w:r>
            <w:r w:rsidR="00F46A6A"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: i rizobi</w:t>
            </w:r>
            <w:r w:rsidR="00F46A6A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. </w:t>
            </w:r>
          </w:p>
          <w:p w:rsidR="00BE731E" w:rsidRDefault="00F46A6A" w:rsidP="005112B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 batteri nitrosanti e nitrificanti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.</w:t>
            </w:r>
          </w:p>
          <w:p w:rsidR="00F46A6A" w:rsidRPr="00B82226" w:rsidRDefault="00F46A6A" w:rsidP="005112B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La denitrificazione: i batteri</w:t>
            </w:r>
            <w:r w:rsidR="00BE731E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denitrificanti</w:t>
            </w:r>
          </w:p>
          <w:p w:rsidR="00F46A6A" w:rsidRPr="00B82226" w:rsidRDefault="00F46A6A" w:rsidP="005112B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F46A6A" w:rsidRPr="00B82226" w:rsidTr="00153006">
        <w:trPr>
          <w:trHeight w:val="3412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Cenni di microbiologia dell’apparto digerente dei mongstrici e dei poligastrici</w:t>
            </w:r>
          </w:p>
        </w:tc>
        <w:tc>
          <w:tcPr>
            <w:tcW w:w="4482" w:type="dxa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Il microbiota del rumine</w:t>
            </w:r>
          </w:p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Il microbiota dell’apparato digerente dei monogastrici con particolare attenzione a quello del suino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>.</w:t>
            </w:r>
          </w:p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 batteri probiotici.</w:t>
            </w:r>
          </w:p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Criteri di selezione</w:t>
            </w:r>
          </w:p>
        </w:tc>
        <w:tc>
          <w:tcPr>
            <w:tcW w:w="761" w:type="dxa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F46A6A" w:rsidRPr="00B82226" w:rsidTr="00153006">
        <w:trPr>
          <w:trHeight w:val="7062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F46A6A" w:rsidRPr="00D80DC0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D80DC0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Conservazione per via fermentativa degli alimenti per l'alimentazione animale </w:t>
            </w:r>
          </w:p>
        </w:tc>
        <w:tc>
          <w:tcPr>
            <w:tcW w:w="4482" w:type="dxa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br/>
              <w:t>Insilamento: principi generali, silaggio caldo e dolce, silaggio freddo e acido.</w:t>
            </w:r>
          </w:p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 principali gruppi microbici coinvolti</w:t>
            </w:r>
          </w:p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Impiego dell</w:t>
            </w:r>
            <w:r w:rsidR="00216969">
              <w:rPr>
                <w:rFonts w:ascii="Calibri" w:eastAsia="Batang" w:hAnsi="Calibri"/>
                <w:sz w:val="24"/>
                <w:szCs w:val="24"/>
                <w:lang w:eastAsia="it-IT"/>
              </w:rPr>
              <w:t>e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colture starter</w:t>
            </w:r>
          </w:p>
        </w:tc>
        <w:tc>
          <w:tcPr>
            <w:tcW w:w="761" w:type="dxa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F46A6A" w:rsidRPr="00B82226" w:rsidTr="00153006">
        <w:trPr>
          <w:trHeight w:val="556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 w:val="restart"/>
            <w:vAlign w:val="center"/>
          </w:tcPr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Conservazione per via fermentativa degli alimenti per l'alimentazione umana </w:t>
            </w:r>
          </w:p>
        </w:tc>
        <w:tc>
          <w:tcPr>
            <w:tcW w:w="4482" w:type="dxa"/>
          </w:tcPr>
          <w:p w:rsidR="00F46A6A" w:rsidRPr="00B82226" w:rsidRDefault="00216969" w:rsidP="004D379C">
            <w:pPr>
              <w:ind w:firstLine="57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br/>
              <w:t>P</w:t>
            </w:r>
            <w:r w:rsidR="00F46A6A"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rodotti lattiero caseari </w:t>
            </w:r>
            <w:r w:rsidR="00F46A6A">
              <w:rPr>
                <w:rFonts w:ascii="Calibri" w:eastAsia="Batang" w:hAnsi="Calibri"/>
                <w:sz w:val="24"/>
                <w:szCs w:val="24"/>
                <w:lang w:eastAsia="it-IT"/>
              </w:rPr>
              <w:t>: il latte,</w:t>
            </w:r>
            <w:r w:rsidR="00F46A6A"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latti</w:t>
            </w:r>
            <w:r w:rsidR="00F46A6A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fermentati, </w:t>
            </w:r>
            <w:r w:rsidR="00F46A6A"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formaggi</w:t>
            </w:r>
            <w:r w:rsidR="00F46A6A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, crema e burro </w:t>
            </w:r>
          </w:p>
        </w:tc>
        <w:tc>
          <w:tcPr>
            <w:tcW w:w="761" w:type="dxa"/>
          </w:tcPr>
          <w:p w:rsidR="00F46A6A" w:rsidRPr="00B82226" w:rsidRDefault="009C7367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F46A6A" w:rsidRPr="00B82226" w:rsidTr="00153006">
        <w:trPr>
          <w:trHeight w:val="555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F46A6A" w:rsidRPr="00B82226" w:rsidRDefault="00F46A6A" w:rsidP="004D379C">
            <w:pPr>
              <w:ind w:firstLine="57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I microorganismi presenti nel latte : </w:t>
            </w:r>
            <w:r w:rsidR="009C7367">
              <w:rPr>
                <w:rFonts w:ascii="Calibri" w:eastAsia="Batang" w:hAnsi="Calibri"/>
                <w:sz w:val="24"/>
                <w:szCs w:val="24"/>
                <w:lang w:eastAsia="it-IT"/>
              </w:rPr>
              <w:t>batteri, lieviti ,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muffe</w:t>
            </w:r>
            <w:r w:rsidR="009C7367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e  virus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, ruolo dei microrganismi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nell’industria casearia</w:t>
            </w:r>
          </w:p>
        </w:tc>
        <w:tc>
          <w:tcPr>
            <w:tcW w:w="761" w:type="dxa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F46A6A" w:rsidRPr="00B82226" w:rsidTr="00153006">
        <w:trPr>
          <w:trHeight w:val="555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E45E96" w:rsidRDefault="00F46A6A" w:rsidP="004D379C">
            <w:pPr>
              <w:ind w:firstLine="57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preparazione della materia prima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:trattamenti termici,microfiltrazione</w:t>
            </w:r>
            <w:r w:rsidR="009C7367">
              <w:rPr>
                <w:rFonts w:ascii="Calibri" w:eastAsia="Batang" w:hAnsi="Calibri"/>
                <w:sz w:val="24"/>
                <w:szCs w:val="24"/>
                <w:lang w:eastAsia="it-IT"/>
              </w:rPr>
              <w:t>.</w:t>
            </w:r>
          </w:p>
          <w:p w:rsidR="00F46A6A" w:rsidRPr="00B82226" w:rsidRDefault="009C7367" w:rsidP="004D379C">
            <w:pPr>
              <w:ind w:firstLine="57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La</w:t>
            </w:r>
            <w:r w:rsidR="00F46A6A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coagulazione</w:t>
            </w:r>
          </w:p>
        </w:tc>
        <w:tc>
          <w:tcPr>
            <w:tcW w:w="761" w:type="dxa"/>
          </w:tcPr>
          <w:p w:rsidR="00F46A6A" w:rsidRPr="00B82226" w:rsidRDefault="009C7367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F46A6A" w:rsidRPr="00B82226" w:rsidTr="00153006">
        <w:trPr>
          <w:trHeight w:val="555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46A6A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F46A6A" w:rsidRPr="00B82226" w:rsidRDefault="00F46A6A" w:rsidP="00F46A6A">
            <w:pPr>
              <w:ind w:firstLine="57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I fagi nell’industria casearia. Le colture  starter naturali e selezionate. Criteri di selezione delle colture</w:t>
            </w:r>
          </w:p>
        </w:tc>
        <w:tc>
          <w:tcPr>
            <w:tcW w:w="761" w:type="dxa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F46A6A" w:rsidRPr="00B82226" w:rsidTr="00153006">
        <w:trPr>
          <w:trHeight w:val="1138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9C7367" w:rsidRDefault="009C7367" w:rsidP="00F46A6A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I salumi: classificazione </w:t>
            </w:r>
          </w:p>
          <w:p w:rsidR="00F46A6A" w:rsidRPr="00B82226" w:rsidRDefault="00F46A6A" w:rsidP="009C7367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</w:tcPr>
          <w:p w:rsidR="00F46A6A" w:rsidRPr="00B82226" w:rsidRDefault="009C7367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1</w:t>
            </w:r>
          </w:p>
        </w:tc>
      </w:tr>
      <w:tr w:rsidR="00F46A6A" w:rsidRPr="00B82226" w:rsidTr="00153006">
        <w:trPr>
          <w:trHeight w:val="1136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F46A6A" w:rsidRPr="00B82226" w:rsidRDefault="009C7367" w:rsidP="00F46A6A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Origine dei </w:t>
            </w:r>
            <w:r w:rsidR="00F46A6A">
              <w:rPr>
                <w:rFonts w:ascii="Calibri" w:eastAsia="Batang" w:hAnsi="Calibri"/>
                <w:sz w:val="24"/>
                <w:szCs w:val="24"/>
                <w:lang w:eastAsia="it-IT"/>
              </w:rPr>
              <w:t>microrganismi della carne:batteri,lieviti e muffe</w:t>
            </w:r>
            <w:r w:rsidR="00F46A6A"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61" w:type="dxa"/>
          </w:tcPr>
          <w:p w:rsidR="00F46A6A" w:rsidRPr="00B82226" w:rsidRDefault="009C7367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F46A6A" w:rsidRPr="00B82226" w:rsidTr="00153006">
        <w:trPr>
          <w:trHeight w:val="1136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9C7367" w:rsidRDefault="00F46A6A" w:rsidP="00FF4A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I batteri </w:t>
            </w:r>
            <w:r w:rsidR="009C7367">
              <w:rPr>
                <w:rFonts w:ascii="Calibri" w:eastAsia="Batang" w:hAnsi="Calibri"/>
                <w:sz w:val="24"/>
                <w:szCs w:val="24"/>
                <w:lang w:eastAsia="it-IT"/>
              </w:rPr>
              <w:t>alteranti,tossigeni e vrtuosi</w:t>
            </w:r>
          </w:p>
          <w:p w:rsidR="00F46A6A" w:rsidRPr="00B82226" w:rsidRDefault="009C7367" w:rsidP="00FF4A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Gli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Insaccati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fermentati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: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preparazione della materia prima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, l’impasto come substrato  per lo sviluppo mic</w:t>
            </w:r>
            <w:r w:rsidR="00EE1DC4">
              <w:rPr>
                <w:rFonts w:ascii="Calibri" w:eastAsia="Batang" w:hAnsi="Calibri"/>
                <w:sz w:val="24"/>
                <w:szCs w:val="24"/>
                <w:lang w:eastAsia="it-IT"/>
              </w:rPr>
              <w:t>r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obico</w:t>
            </w:r>
          </w:p>
        </w:tc>
        <w:tc>
          <w:tcPr>
            <w:tcW w:w="761" w:type="dxa"/>
          </w:tcPr>
          <w:p w:rsidR="00F46A6A" w:rsidRPr="00B82226" w:rsidRDefault="009C7367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F46A6A" w:rsidRPr="00B82226" w:rsidTr="00153006">
        <w:trPr>
          <w:trHeight w:val="1136"/>
          <w:tblCellSpacing w:w="7" w:type="dxa"/>
          <w:jc w:val="center"/>
        </w:trPr>
        <w:tc>
          <w:tcPr>
            <w:tcW w:w="2733" w:type="dxa"/>
            <w:gridSpan w:val="2"/>
            <w:vMerge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F46A6A" w:rsidRPr="00B82226" w:rsidRDefault="00F46A6A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482" w:type="dxa"/>
          </w:tcPr>
          <w:p w:rsidR="00F46A6A" w:rsidRPr="00B82226" w:rsidRDefault="00F46A6A" w:rsidP="00FF4A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criteri di selezione e uso delle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colture microbiche selezionate</w:t>
            </w:r>
          </w:p>
        </w:tc>
        <w:tc>
          <w:tcPr>
            <w:tcW w:w="761" w:type="dxa"/>
          </w:tcPr>
          <w:p w:rsidR="00F46A6A" w:rsidRPr="00B82226" w:rsidRDefault="009C7367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D80DC0" w:rsidRPr="00B82226" w:rsidTr="00D80DC0">
        <w:trPr>
          <w:trHeight w:val="420"/>
          <w:tblCellSpacing w:w="7" w:type="dxa"/>
          <w:jc w:val="center"/>
        </w:trPr>
        <w:tc>
          <w:tcPr>
            <w:tcW w:w="10539" w:type="dxa"/>
            <w:gridSpan w:val="6"/>
          </w:tcPr>
          <w:p w:rsidR="00D80DC0" w:rsidRPr="00B82226" w:rsidRDefault="00D80DC0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br w:type="page"/>
            </w:r>
          </w:p>
          <w:p w:rsidR="00D80DC0" w:rsidRPr="00B82226" w:rsidRDefault="00D80DC0" w:rsidP="00D80DC0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ESERCITAZIONI, VISITE GUIDATE (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  <w:r w:rsidR="005C52CC">
              <w:rPr>
                <w:rFonts w:ascii="Calibri" w:eastAsia="Batang" w:hAnsi="Calibri"/>
                <w:sz w:val="24"/>
                <w:szCs w:val="24"/>
                <w:lang w:eastAsia="it-IT"/>
              </w:rPr>
              <w:t>6</w:t>
            </w:r>
            <w:r w:rsidR="00E45E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Pr="00B82226">
              <w:rPr>
                <w:rFonts w:ascii="Calibri" w:eastAsia="Batang" w:hAnsi="Calibri"/>
                <w:sz w:val="24"/>
                <w:szCs w:val="24"/>
                <w:lang w:eastAsia="it-IT"/>
              </w:rPr>
              <w:t>ore)</w:t>
            </w:r>
          </w:p>
        </w:tc>
      </w:tr>
      <w:tr w:rsidR="001C48B4" w:rsidRPr="00B82226" w:rsidTr="00153006">
        <w:trPr>
          <w:trHeight w:val="420"/>
          <w:tblCellSpacing w:w="7" w:type="dxa"/>
          <w:jc w:val="center"/>
        </w:trPr>
        <w:tc>
          <w:tcPr>
            <w:tcW w:w="2705" w:type="dxa"/>
            <w:vMerge w:val="restart"/>
          </w:tcPr>
          <w:p w:rsidR="00153006" w:rsidRPr="00B82226" w:rsidRDefault="00153006" w:rsidP="0015300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Le esercitazioni consentiranno allo studente di  verificare sperimentalmente quanto appreso dalle lezioni  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216969" w:rsidRDefault="00153006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Impiego del microscopio ottico a contrasto di fase e a luce diretta: osservazione di preparati freschi e colorati. Isolamento delle colture pur</w:t>
            </w:r>
            <w:r w:rsidR="00216969">
              <w:rPr>
                <w:rFonts w:ascii="Calibri" w:eastAsia="Batang" w:hAnsi="Calibri"/>
                <w:sz w:val="24"/>
                <w:szCs w:val="24"/>
                <w:lang w:eastAsia="it-IT"/>
              </w:rPr>
              <w:t>e. T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ecniche di conteggio.</w:t>
            </w:r>
          </w:p>
          <w:p w:rsidR="001C48B4" w:rsidRPr="00B82226" w:rsidRDefault="00153006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Identificazione degli isolati</w:t>
            </w:r>
          </w:p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504" w:type="dxa"/>
            <w:gridSpan w:val="2"/>
          </w:tcPr>
          <w:p w:rsidR="001C48B4" w:rsidRPr="00B82226" w:rsidRDefault="001C48B4" w:rsidP="00D834DF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523052">
              <w:rPr>
                <w:rFonts w:ascii="Arial" w:hAnsi="Arial" w:cs="Arial"/>
                <w:sz w:val="20"/>
              </w:rPr>
              <w:t>Osservazione al microscopio di forme microbiche</w:t>
            </w:r>
          </w:p>
        </w:tc>
        <w:tc>
          <w:tcPr>
            <w:tcW w:w="761" w:type="dxa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1C48B4" w:rsidRPr="00B82226" w:rsidTr="00153006">
        <w:trPr>
          <w:trHeight w:val="399"/>
          <w:tblCellSpacing w:w="7" w:type="dxa"/>
          <w:jc w:val="center"/>
        </w:trPr>
        <w:tc>
          <w:tcPr>
            <w:tcW w:w="2705" w:type="dxa"/>
            <w:vMerge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504" w:type="dxa"/>
            <w:gridSpan w:val="2"/>
          </w:tcPr>
          <w:p w:rsidR="001C48B4" w:rsidRDefault="001C48B4" w:rsidP="00D834DF">
            <w:pPr>
              <w:ind w:firstLine="0"/>
              <w:rPr>
                <w:rFonts w:ascii="Arial" w:hAnsi="Arial" w:cs="Arial"/>
                <w:sz w:val="20"/>
              </w:rPr>
            </w:pPr>
            <w:r w:rsidRPr="00523052">
              <w:rPr>
                <w:rFonts w:ascii="Arial" w:hAnsi="Arial" w:cs="Arial"/>
                <w:sz w:val="20"/>
              </w:rPr>
              <w:t xml:space="preserve">Conteggi al microscopio </w:t>
            </w:r>
          </w:p>
          <w:p w:rsidR="001C48B4" w:rsidRPr="00B82226" w:rsidRDefault="001C48B4" w:rsidP="00D834DF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523052">
              <w:rPr>
                <w:rFonts w:ascii="Arial" w:hAnsi="Arial" w:cs="Arial"/>
                <w:sz w:val="20"/>
              </w:rPr>
              <w:t>Preparazione terreni di coltura e semina in piastra</w:t>
            </w:r>
          </w:p>
        </w:tc>
        <w:tc>
          <w:tcPr>
            <w:tcW w:w="761" w:type="dxa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1C48B4" w:rsidRPr="00B82226" w:rsidTr="00153006">
        <w:trPr>
          <w:trHeight w:val="399"/>
          <w:tblCellSpacing w:w="7" w:type="dxa"/>
          <w:jc w:val="center"/>
        </w:trPr>
        <w:tc>
          <w:tcPr>
            <w:tcW w:w="2705" w:type="dxa"/>
            <w:vMerge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504" w:type="dxa"/>
            <w:gridSpan w:val="2"/>
          </w:tcPr>
          <w:p w:rsidR="001C48B4" w:rsidRDefault="001C48B4" w:rsidP="001C48B4">
            <w:pPr>
              <w:ind w:firstLine="0"/>
              <w:rPr>
                <w:rFonts w:ascii="Arial" w:hAnsi="Arial" w:cs="Arial"/>
                <w:sz w:val="20"/>
              </w:rPr>
            </w:pPr>
            <w:r w:rsidRPr="00523052">
              <w:rPr>
                <w:rFonts w:ascii="Arial" w:hAnsi="Arial" w:cs="Arial"/>
                <w:sz w:val="20"/>
              </w:rPr>
              <w:t>Allestimento colorazione di Gram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C48B4" w:rsidRPr="00523052" w:rsidRDefault="001C48B4" w:rsidP="001C48B4">
            <w:pPr>
              <w:ind w:firstLine="0"/>
              <w:rPr>
                <w:rFonts w:ascii="Arial" w:hAnsi="Arial" w:cs="Arial"/>
                <w:sz w:val="20"/>
              </w:rPr>
            </w:pPr>
            <w:r w:rsidRPr="00523052">
              <w:rPr>
                <w:rFonts w:ascii="Arial" w:hAnsi="Arial" w:cs="Arial"/>
                <w:sz w:val="20"/>
              </w:rPr>
              <w:t xml:space="preserve"> Conteggi in piastra e isolamento di colture pure. Colimetria </w:t>
            </w:r>
          </w:p>
        </w:tc>
        <w:tc>
          <w:tcPr>
            <w:tcW w:w="761" w:type="dxa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1C48B4" w:rsidRPr="00B82226" w:rsidTr="00153006">
        <w:trPr>
          <w:trHeight w:val="399"/>
          <w:tblCellSpacing w:w="7" w:type="dxa"/>
          <w:jc w:val="center"/>
        </w:trPr>
        <w:tc>
          <w:tcPr>
            <w:tcW w:w="2705" w:type="dxa"/>
            <w:vMerge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504" w:type="dxa"/>
            <w:gridSpan w:val="2"/>
          </w:tcPr>
          <w:p w:rsidR="001C48B4" w:rsidRPr="00B82226" w:rsidRDefault="001C48B4" w:rsidP="00D834DF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523052">
              <w:rPr>
                <w:rFonts w:ascii="Arial" w:hAnsi="Arial" w:cs="Arial"/>
                <w:sz w:val="20"/>
              </w:rPr>
              <w:t>MPN e conteggio batteri sporigeni</w:t>
            </w:r>
            <w:r w:rsidR="00F73166">
              <w:rPr>
                <w:rFonts w:ascii="Arial" w:hAnsi="Arial" w:cs="Arial"/>
                <w:sz w:val="20"/>
              </w:rPr>
              <w:t xml:space="preserve"> aerobi e anaerobi</w:t>
            </w:r>
          </w:p>
        </w:tc>
        <w:tc>
          <w:tcPr>
            <w:tcW w:w="761" w:type="dxa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1C48B4" w:rsidRPr="00B82226" w:rsidTr="00153006">
        <w:trPr>
          <w:trHeight w:val="399"/>
          <w:tblCellSpacing w:w="7" w:type="dxa"/>
          <w:jc w:val="center"/>
        </w:trPr>
        <w:tc>
          <w:tcPr>
            <w:tcW w:w="2705" w:type="dxa"/>
            <w:vMerge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504" w:type="dxa"/>
            <w:gridSpan w:val="2"/>
          </w:tcPr>
          <w:p w:rsidR="001C48B4" w:rsidRPr="00523052" w:rsidRDefault="001C48B4" w:rsidP="001C48B4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Allestimento de</w:t>
            </w:r>
            <w:r w:rsidR="0015300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53006">
              <w:rPr>
                <w:rFonts w:ascii="Arial" w:hAnsi="Arial" w:cs="Arial"/>
                <w:sz w:val="20"/>
              </w:rPr>
              <w:t>p</w:t>
            </w:r>
            <w:r w:rsidRPr="00523052">
              <w:rPr>
                <w:rFonts w:ascii="Arial" w:hAnsi="Arial" w:cs="Arial"/>
                <w:sz w:val="20"/>
              </w:rPr>
              <w:t>rincipali test per la identificazione e caratte</w:t>
            </w:r>
            <w:r w:rsidR="00153006">
              <w:rPr>
                <w:rFonts w:ascii="Arial" w:hAnsi="Arial" w:cs="Arial"/>
                <w:sz w:val="20"/>
              </w:rPr>
              <w:t xml:space="preserve">rizzazione dei batteri lattici e degli </w:t>
            </w:r>
            <w:r w:rsidRPr="00523052">
              <w:rPr>
                <w:rFonts w:ascii="Arial" w:hAnsi="Arial" w:cs="Arial"/>
                <w:sz w:val="20"/>
              </w:rPr>
              <w:t>stafilococchi</w:t>
            </w:r>
          </w:p>
        </w:tc>
        <w:tc>
          <w:tcPr>
            <w:tcW w:w="761" w:type="dxa"/>
          </w:tcPr>
          <w:p w:rsidR="001C48B4" w:rsidRPr="00B82226" w:rsidRDefault="001C48B4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153006" w:rsidRPr="00B82226" w:rsidTr="00153006">
        <w:trPr>
          <w:trHeight w:val="930"/>
          <w:tblCellSpacing w:w="7" w:type="dxa"/>
          <w:jc w:val="center"/>
        </w:trPr>
        <w:tc>
          <w:tcPr>
            <w:tcW w:w="2705" w:type="dxa"/>
            <w:vMerge/>
          </w:tcPr>
          <w:p w:rsidR="00153006" w:rsidRPr="00B82226" w:rsidRDefault="00153006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153006" w:rsidRPr="00B82226" w:rsidRDefault="00153006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4504" w:type="dxa"/>
            <w:gridSpan w:val="2"/>
          </w:tcPr>
          <w:p w:rsidR="00153006" w:rsidRPr="00B82226" w:rsidRDefault="00153006" w:rsidP="00D834DF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</w:rPr>
              <w:t>Lettura e interpretazione risultati dei</w:t>
            </w:r>
            <w:r w:rsidRPr="00523052">
              <w:rPr>
                <w:rFonts w:ascii="Arial" w:hAnsi="Arial" w:cs="Arial"/>
                <w:sz w:val="20"/>
              </w:rPr>
              <w:t xml:space="preserve"> test per la identificazione e caratterizzazione dei batteri lattici, stafilococchi</w:t>
            </w:r>
          </w:p>
        </w:tc>
        <w:tc>
          <w:tcPr>
            <w:tcW w:w="761" w:type="dxa"/>
          </w:tcPr>
          <w:p w:rsidR="00153006" w:rsidRPr="00B82226" w:rsidRDefault="00153006" w:rsidP="00B82226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2</w:t>
            </w:r>
          </w:p>
        </w:tc>
      </w:tr>
      <w:tr w:rsidR="000F34AF" w:rsidRPr="007F303D" w:rsidTr="000F34AF">
        <w:trPr>
          <w:trHeight w:val="388"/>
          <w:tblCellSpacing w:w="7" w:type="dxa"/>
          <w:jc w:val="center"/>
        </w:trPr>
        <w:tc>
          <w:tcPr>
            <w:tcW w:w="2705" w:type="dxa"/>
            <w:vMerge w:val="restart"/>
          </w:tcPr>
          <w:p w:rsidR="00173D91" w:rsidRDefault="000F34AF" w:rsidP="00173D9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 xml:space="preserve">Visite guidate </w:t>
            </w:r>
            <w:r w:rsidR="00173D91">
              <w:rPr>
                <w:rFonts w:ascii="Arial" w:hAnsi="Arial" w:cs="Arial"/>
                <w:sz w:val="20"/>
              </w:rPr>
              <w:t xml:space="preserve"> multi</w:t>
            </w:r>
            <w:r w:rsidR="001718ED" w:rsidRPr="007F303D">
              <w:rPr>
                <w:rFonts w:ascii="Arial" w:hAnsi="Arial" w:cs="Arial"/>
                <w:sz w:val="20"/>
              </w:rPr>
              <w:t>disciplinari in</w:t>
            </w:r>
            <w:r w:rsidRPr="007F303D">
              <w:rPr>
                <w:rFonts w:ascii="Arial" w:hAnsi="Arial" w:cs="Arial"/>
                <w:sz w:val="20"/>
              </w:rPr>
              <w:t xml:space="preserve"> collaborazione </w:t>
            </w:r>
            <w:r w:rsidR="007F303D">
              <w:rPr>
                <w:rFonts w:ascii="Arial" w:hAnsi="Arial" w:cs="Arial"/>
                <w:sz w:val="20"/>
              </w:rPr>
              <w:t xml:space="preserve">  con</w:t>
            </w:r>
            <w:r w:rsidR="001718ED" w:rsidRPr="007F303D">
              <w:rPr>
                <w:rFonts w:ascii="Arial" w:hAnsi="Arial" w:cs="Arial"/>
                <w:sz w:val="20"/>
              </w:rPr>
              <w:t xml:space="preserve"> docenti degli insegnamenti di:</w:t>
            </w:r>
          </w:p>
          <w:p w:rsidR="00173D91" w:rsidRPr="00173D91" w:rsidRDefault="00173D91" w:rsidP="00173D91">
            <w:pPr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173D91">
              <w:rPr>
                <w:rFonts w:ascii="Arial" w:hAnsi="Arial" w:cs="Arial"/>
                <w:sz w:val="16"/>
              </w:rPr>
              <w:t xml:space="preserve"> 74877 MIGLIORAMENTO  GENETICO</w:t>
            </w:r>
          </w:p>
          <w:p w:rsidR="001718ED" w:rsidRPr="00173D91" w:rsidRDefault="00173D91" w:rsidP="00173D91">
            <w:pPr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173D91">
              <w:rPr>
                <w:rFonts w:ascii="Arial" w:hAnsi="Arial" w:cs="Arial"/>
                <w:sz w:val="16"/>
              </w:rPr>
              <w:t>65976  EPIDEMIOLOGIA E PARASSITOLOGIA VETERINARIA</w:t>
            </w:r>
          </w:p>
          <w:tbl>
            <w:tblPr>
              <w:tblW w:w="145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13"/>
            </w:tblGrid>
            <w:tr w:rsidR="001718ED" w:rsidRPr="007F303D" w:rsidTr="00173D91">
              <w:trPr>
                <w:cantSplit/>
                <w:trHeight w:val="1251"/>
              </w:trPr>
              <w:tc>
                <w:tcPr>
                  <w:tcW w:w="3614" w:type="pct"/>
                  <w:tcMar>
                    <w:top w:w="120" w:type="dxa"/>
                    <w:left w:w="120" w:type="dxa"/>
                    <w:bottom w:w="120" w:type="dxa"/>
                    <w:right w:w="225" w:type="dxa"/>
                  </w:tcMar>
                </w:tcPr>
                <w:p w:rsidR="001718ED" w:rsidRPr="007F303D" w:rsidRDefault="001718ED" w:rsidP="00173D91">
                  <w:pPr>
                    <w:spacing w:before="75" w:after="525" w:line="330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86" w:type="pct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</w:tcPr>
                <w:p w:rsidR="001718ED" w:rsidRPr="007F303D" w:rsidRDefault="001718ED" w:rsidP="00173D91">
                  <w:pPr>
                    <w:tabs>
                      <w:tab w:val="left" w:pos="574"/>
                    </w:tabs>
                    <w:spacing w:before="75" w:after="525" w:line="330" w:lineRule="atLeast"/>
                    <w:ind w:right="43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F34AF" w:rsidRPr="007F303D" w:rsidRDefault="000F34AF" w:rsidP="00173D9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gridSpan w:val="2"/>
            <w:vMerge w:val="restart"/>
          </w:tcPr>
          <w:p w:rsidR="000F34AF" w:rsidRPr="007F303D" w:rsidRDefault="000F34AF" w:rsidP="00153006">
            <w:pPr>
              <w:ind w:firstLine="0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 xml:space="preserve">Visite tecniche ad  allevamenti : bovini </w:t>
            </w:r>
            <w:r w:rsidR="00216969">
              <w:rPr>
                <w:rFonts w:ascii="Arial" w:hAnsi="Arial" w:cs="Arial"/>
                <w:sz w:val="20"/>
              </w:rPr>
              <w:t xml:space="preserve">, </w:t>
            </w:r>
            <w:r w:rsidRPr="007F303D">
              <w:rPr>
                <w:rFonts w:ascii="Arial" w:hAnsi="Arial" w:cs="Arial"/>
                <w:sz w:val="20"/>
              </w:rPr>
              <w:t>asinini e bufalini</w:t>
            </w:r>
          </w:p>
        </w:tc>
        <w:tc>
          <w:tcPr>
            <w:tcW w:w="4504" w:type="dxa"/>
            <w:gridSpan w:val="2"/>
          </w:tcPr>
          <w:p w:rsidR="000F34AF" w:rsidRPr="007F303D" w:rsidRDefault="00216969" w:rsidP="00D834D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Visita all’</w:t>
            </w:r>
            <w:r w:rsidR="000F34AF" w:rsidRPr="007F303D">
              <w:rPr>
                <w:rFonts w:ascii="Arial" w:hAnsi="Arial" w:cs="Arial"/>
                <w:sz w:val="20"/>
              </w:rPr>
              <w:t xml:space="preserve"> allevamento asi</w:t>
            </w:r>
            <w:r>
              <w:rPr>
                <w:rFonts w:ascii="Arial" w:hAnsi="Arial" w:cs="Arial"/>
                <w:sz w:val="20"/>
              </w:rPr>
              <w:t>nino di Monte Baducco  Quattroc</w:t>
            </w:r>
            <w:r w:rsidR="000F34AF" w:rsidRPr="007F303D">
              <w:rPr>
                <w:rFonts w:ascii="Arial" w:hAnsi="Arial" w:cs="Arial"/>
                <w:sz w:val="20"/>
              </w:rPr>
              <w:t>astella (RE): mungitura delle asine e filiera del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F34AF" w:rsidRPr="007F303D">
              <w:rPr>
                <w:rFonts w:ascii="Arial" w:hAnsi="Arial" w:cs="Arial"/>
                <w:sz w:val="20"/>
              </w:rPr>
              <w:t xml:space="preserve"> latte d’asina</w:t>
            </w:r>
          </w:p>
        </w:tc>
        <w:tc>
          <w:tcPr>
            <w:tcW w:w="761" w:type="dxa"/>
          </w:tcPr>
          <w:p w:rsidR="000F34AF" w:rsidRPr="007F303D" w:rsidRDefault="000F34AF" w:rsidP="00B82226">
            <w:pPr>
              <w:ind w:firstLine="0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>6</w:t>
            </w:r>
          </w:p>
        </w:tc>
      </w:tr>
      <w:tr w:rsidR="000F34AF" w:rsidRPr="007F303D" w:rsidTr="00153006">
        <w:trPr>
          <w:trHeight w:val="387"/>
          <w:tblCellSpacing w:w="7" w:type="dxa"/>
          <w:jc w:val="center"/>
        </w:trPr>
        <w:tc>
          <w:tcPr>
            <w:tcW w:w="2705" w:type="dxa"/>
            <w:vMerge/>
          </w:tcPr>
          <w:p w:rsidR="000F34AF" w:rsidRPr="007F303D" w:rsidRDefault="000F34AF" w:rsidP="00B82226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gridSpan w:val="2"/>
            <w:vMerge/>
          </w:tcPr>
          <w:p w:rsidR="000F34AF" w:rsidRPr="007F303D" w:rsidRDefault="000F34AF" w:rsidP="00153006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04" w:type="dxa"/>
            <w:gridSpan w:val="2"/>
          </w:tcPr>
          <w:p w:rsidR="000F34AF" w:rsidRPr="007F303D" w:rsidRDefault="001718ED" w:rsidP="001718ED">
            <w:pPr>
              <w:ind w:firstLine="0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>La visita ad un allevamento di vacche da latte ( Cooperativa Agricola CILA</w:t>
            </w:r>
            <w:r w:rsidR="00216969">
              <w:rPr>
                <w:rFonts w:ascii="Arial" w:hAnsi="Arial" w:cs="Arial"/>
                <w:sz w:val="20"/>
              </w:rPr>
              <w:t>,</w:t>
            </w:r>
            <w:r w:rsidRPr="007F303D">
              <w:rPr>
                <w:rFonts w:ascii="Arial" w:hAnsi="Arial" w:cs="Arial"/>
                <w:sz w:val="20"/>
              </w:rPr>
              <w:t xml:space="preserve"> Novellara Reggio E.) con un numero elevato di capi allevati e relativo impianto di Biogas  per lo smaltimenti dei liquami zootecnici :</w:t>
            </w:r>
            <w:r w:rsidR="00216969">
              <w:rPr>
                <w:rFonts w:ascii="Arial" w:hAnsi="Arial" w:cs="Arial"/>
                <w:sz w:val="20"/>
              </w:rPr>
              <w:t xml:space="preserve"> particolare attenzione all’igiene della </w:t>
            </w:r>
            <w:r w:rsidRPr="007F303D">
              <w:rPr>
                <w:rFonts w:ascii="Arial" w:hAnsi="Arial" w:cs="Arial"/>
                <w:sz w:val="20"/>
              </w:rPr>
              <w:t xml:space="preserve">mungitura e stoccaggio </w:t>
            </w:r>
            <w:r w:rsidR="00216969">
              <w:rPr>
                <w:rFonts w:ascii="Arial" w:hAnsi="Arial" w:cs="Arial"/>
                <w:sz w:val="20"/>
              </w:rPr>
              <w:t xml:space="preserve"> del latte </w:t>
            </w:r>
            <w:r w:rsidRPr="007F303D">
              <w:rPr>
                <w:rFonts w:ascii="Arial" w:hAnsi="Arial" w:cs="Arial"/>
                <w:sz w:val="20"/>
              </w:rPr>
              <w:t>alla stalla.</w:t>
            </w:r>
          </w:p>
          <w:p w:rsidR="001718ED" w:rsidRPr="007F303D" w:rsidRDefault="001718ED" w:rsidP="001718ED">
            <w:pPr>
              <w:ind w:firstLine="0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>Impianto di biogas</w:t>
            </w:r>
            <w:r w:rsidR="00216969">
              <w:rPr>
                <w:rFonts w:ascii="Arial" w:hAnsi="Arial" w:cs="Arial"/>
                <w:sz w:val="20"/>
              </w:rPr>
              <w:t xml:space="preserve"> : struttura dell’impianto e gestione della metanogenesi.</w:t>
            </w:r>
          </w:p>
        </w:tc>
        <w:tc>
          <w:tcPr>
            <w:tcW w:w="761" w:type="dxa"/>
          </w:tcPr>
          <w:p w:rsidR="000F34AF" w:rsidRPr="007F303D" w:rsidRDefault="007F303D" w:rsidP="00B82226">
            <w:pPr>
              <w:ind w:firstLine="0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>4</w:t>
            </w:r>
          </w:p>
        </w:tc>
      </w:tr>
      <w:tr w:rsidR="000F34AF" w:rsidRPr="007F303D" w:rsidTr="00153006">
        <w:trPr>
          <w:trHeight w:val="387"/>
          <w:tblCellSpacing w:w="7" w:type="dxa"/>
          <w:jc w:val="center"/>
        </w:trPr>
        <w:tc>
          <w:tcPr>
            <w:tcW w:w="2705" w:type="dxa"/>
            <w:vMerge/>
          </w:tcPr>
          <w:p w:rsidR="000F34AF" w:rsidRPr="007F303D" w:rsidRDefault="000F34AF" w:rsidP="00B82226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gridSpan w:val="2"/>
            <w:vMerge/>
          </w:tcPr>
          <w:p w:rsidR="000F34AF" w:rsidRPr="007F303D" w:rsidRDefault="000F34AF" w:rsidP="00153006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04" w:type="dxa"/>
            <w:gridSpan w:val="2"/>
          </w:tcPr>
          <w:p w:rsidR="000F34AF" w:rsidRPr="007F303D" w:rsidRDefault="007F303D" w:rsidP="00D834DF">
            <w:pPr>
              <w:ind w:firstLine="0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 xml:space="preserve">Visita all’allevamento bufalino “Cavallerizza- la Deliziosa” di Cona (FE). Sarà approfondita </w:t>
            </w:r>
            <w:r w:rsidR="00216969">
              <w:rPr>
                <w:rFonts w:ascii="Arial" w:hAnsi="Arial" w:cs="Arial"/>
                <w:sz w:val="20"/>
              </w:rPr>
              <w:t xml:space="preserve"> l’igiene nell’operazione di </w:t>
            </w:r>
            <w:r w:rsidRPr="007F303D">
              <w:rPr>
                <w:rFonts w:ascii="Arial" w:hAnsi="Arial" w:cs="Arial"/>
                <w:sz w:val="20"/>
              </w:rPr>
              <w:t xml:space="preserve"> mungitura e la trasformazione del latte nel caseific</w:t>
            </w:r>
            <w:r w:rsidR="00216969">
              <w:rPr>
                <w:rFonts w:ascii="Arial" w:hAnsi="Arial" w:cs="Arial"/>
                <w:sz w:val="20"/>
              </w:rPr>
              <w:t xml:space="preserve">io </w:t>
            </w:r>
            <w:r w:rsidRPr="007F303D">
              <w:rPr>
                <w:rFonts w:ascii="Arial" w:hAnsi="Arial" w:cs="Arial"/>
                <w:sz w:val="20"/>
              </w:rPr>
              <w:t>i aziendale</w:t>
            </w:r>
          </w:p>
        </w:tc>
        <w:tc>
          <w:tcPr>
            <w:tcW w:w="761" w:type="dxa"/>
          </w:tcPr>
          <w:p w:rsidR="000F34AF" w:rsidRPr="007F303D" w:rsidRDefault="007F303D" w:rsidP="00B82226">
            <w:pPr>
              <w:ind w:firstLine="0"/>
              <w:rPr>
                <w:rFonts w:ascii="Arial" w:hAnsi="Arial" w:cs="Arial"/>
                <w:sz w:val="20"/>
              </w:rPr>
            </w:pPr>
            <w:r w:rsidRPr="007F303D">
              <w:rPr>
                <w:rFonts w:ascii="Arial" w:hAnsi="Arial" w:cs="Arial"/>
                <w:sz w:val="20"/>
              </w:rPr>
              <w:t>4</w:t>
            </w:r>
          </w:p>
        </w:tc>
      </w:tr>
    </w:tbl>
    <w:p w:rsidR="0037636F" w:rsidRPr="007F303D" w:rsidRDefault="0037636F" w:rsidP="00B82226">
      <w:pPr>
        <w:ind w:firstLine="0"/>
        <w:rPr>
          <w:rFonts w:ascii="Arial" w:hAnsi="Arial" w:cs="Arial"/>
          <w:sz w:val="20"/>
        </w:rPr>
      </w:pPr>
    </w:p>
    <w:sectPr w:rsidR="0037636F" w:rsidRPr="007F303D" w:rsidSect="00974E7C">
      <w:footerReference w:type="default" r:id="rId7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8E" w:rsidRDefault="0050048E" w:rsidP="004468EB">
      <w:pPr>
        <w:spacing w:after="0"/>
      </w:pPr>
      <w:r>
        <w:separator/>
      </w:r>
    </w:p>
  </w:endnote>
  <w:endnote w:type="continuationSeparator" w:id="0">
    <w:p w:rsidR="0050048E" w:rsidRDefault="0050048E" w:rsidP="00446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493759"/>
      <w:docPartObj>
        <w:docPartGallery w:val="Page Numbers (Bottom of Page)"/>
        <w:docPartUnique/>
      </w:docPartObj>
    </w:sdtPr>
    <w:sdtEndPr/>
    <w:sdtContent>
      <w:p w:rsidR="00B82226" w:rsidRDefault="002336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226" w:rsidRDefault="00B82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8E" w:rsidRDefault="0050048E" w:rsidP="004468EB">
      <w:pPr>
        <w:spacing w:after="0"/>
      </w:pPr>
      <w:r>
        <w:separator/>
      </w:r>
    </w:p>
  </w:footnote>
  <w:footnote w:type="continuationSeparator" w:id="0">
    <w:p w:rsidR="0050048E" w:rsidRDefault="0050048E" w:rsidP="004468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A7CC1"/>
    <w:multiLevelType w:val="hybridMultilevel"/>
    <w:tmpl w:val="B1C0C8D8"/>
    <w:lvl w:ilvl="0" w:tplc="65283E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564D"/>
    <w:multiLevelType w:val="hybridMultilevel"/>
    <w:tmpl w:val="A176AAD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976223"/>
    <w:multiLevelType w:val="hybridMultilevel"/>
    <w:tmpl w:val="3856B4B0"/>
    <w:lvl w:ilvl="0" w:tplc="0410000F">
      <w:start w:val="1"/>
      <w:numFmt w:val="decimal"/>
      <w:lvlText w:val="%1."/>
      <w:lvlJc w:val="left"/>
      <w:pPr>
        <w:ind w:left="1249" w:hanging="360"/>
      </w:pPr>
    </w:lvl>
    <w:lvl w:ilvl="1" w:tplc="04100019" w:tentative="1">
      <w:start w:val="1"/>
      <w:numFmt w:val="lowerLetter"/>
      <w:lvlText w:val="%2."/>
      <w:lvlJc w:val="left"/>
      <w:pPr>
        <w:ind w:left="1969" w:hanging="360"/>
      </w:pPr>
    </w:lvl>
    <w:lvl w:ilvl="2" w:tplc="0410001B" w:tentative="1">
      <w:start w:val="1"/>
      <w:numFmt w:val="lowerRoman"/>
      <w:lvlText w:val="%3."/>
      <w:lvlJc w:val="right"/>
      <w:pPr>
        <w:ind w:left="2689" w:hanging="180"/>
      </w:pPr>
    </w:lvl>
    <w:lvl w:ilvl="3" w:tplc="0410000F" w:tentative="1">
      <w:start w:val="1"/>
      <w:numFmt w:val="decimal"/>
      <w:lvlText w:val="%4."/>
      <w:lvlJc w:val="left"/>
      <w:pPr>
        <w:ind w:left="3409" w:hanging="360"/>
      </w:pPr>
    </w:lvl>
    <w:lvl w:ilvl="4" w:tplc="04100019" w:tentative="1">
      <w:start w:val="1"/>
      <w:numFmt w:val="lowerLetter"/>
      <w:lvlText w:val="%5."/>
      <w:lvlJc w:val="left"/>
      <w:pPr>
        <w:ind w:left="4129" w:hanging="360"/>
      </w:pPr>
    </w:lvl>
    <w:lvl w:ilvl="5" w:tplc="0410001B" w:tentative="1">
      <w:start w:val="1"/>
      <w:numFmt w:val="lowerRoman"/>
      <w:lvlText w:val="%6."/>
      <w:lvlJc w:val="right"/>
      <w:pPr>
        <w:ind w:left="4849" w:hanging="180"/>
      </w:pPr>
    </w:lvl>
    <w:lvl w:ilvl="6" w:tplc="0410000F" w:tentative="1">
      <w:start w:val="1"/>
      <w:numFmt w:val="decimal"/>
      <w:lvlText w:val="%7."/>
      <w:lvlJc w:val="left"/>
      <w:pPr>
        <w:ind w:left="5569" w:hanging="360"/>
      </w:pPr>
    </w:lvl>
    <w:lvl w:ilvl="7" w:tplc="04100019" w:tentative="1">
      <w:start w:val="1"/>
      <w:numFmt w:val="lowerLetter"/>
      <w:lvlText w:val="%8."/>
      <w:lvlJc w:val="left"/>
      <w:pPr>
        <w:ind w:left="6289" w:hanging="360"/>
      </w:pPr>
    </w:lvl>
    <w:lvl w:ilvl="8" w:tplc="0410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C"/>
    <w:rsid w:val="00004633"/>
    <w:rsid w:val="000266FD"/>
    <w:rsid w:val="00050275"/>
    <w:rsid w:val="000C02D7"/>
    <w:rsid w:val="000F34AF"/>
    <w:rsid w:val="00103249"/>
    <w:rsid w:val="00115FC4"/>
    <w:rsid w:val="00153006"/>
    <w:rsid w:val="001718ED"/>
    <w:rsid w:val="00173D91"/>
    <w:rsid w:val="00173F88"/>
    <w:rsid w:val="001754FE"/>
    <w:rsid w:val="00183D66"/>
    <w:rsid w:val="0018713E"/>
    <w:rsid w:val="00190B0D"/>
    <w:rsid w:val="001C48B4"/>
    <w:rsid w:val="001C688D"/>
    <w:rsid w:val="00204E32"/>
    <w:rsid w:val="00216969"/>
    <w:rsid w:val="0023032E"/>
    <w:rsid w:val="0023369D"/>
    <w:rsid w:val="002353F1"/>
    <w:rsid w:val="0025185F"/>
    <w:rsid w:val="00276848"/>
    <w:rsid w:val="002832F5"/>
    <w:rsid w:val="002B57C0"/>
    <w:rsid w:val="002B60D1"/>
    <w:rsid w:val="002C43C3"/>
    <w:rsid w:val="002E1B69"/>
    <w:rsid w:val="00322CC9"/>
    <w:rsid w:val="00334470"/>
    <w:rsid w:val="0037636F"/>
    <w:rsid w:val="00376F96"/>
    <w:rsid w:val="003A659B"/>
    <w:rsid w:val="003F267F"/>
    <w:rsid w:val="004130DC"/>
    <w:rsid w:val="0043203B"/>
    <w:rsid w:val="004468EB"/>
    <w:rsid w:val="0047773C"/>
    <w:rsid w:val="004950D5"/>
    <w:rsid w:val="004B47E5"/>
    <w:rsid w:val="004C4E0C"/>
    <w:rsid w:val="004C735F"/>
    <w:rsid w:val="004D379C"/>
    <w:rsid w:val="004D527D"/>
    <w:rsid w:val="0050048E"/>
    <w:rsid w:val="005112B7"/>
    <w:rsid w:val="00517F27"/>
    <w:rsid w:val="005376BE"/>
    <w:rsid w:val="005636F9"/>
    <w:rsid w:val="005B1C45"/>
    <w:rsid w:val="005B46C1"/>
    <w:rsid w:val="005C0336"/>
    <w:rsid w:val="005C52CC"/>
    <w:rsid w:val="0061295F"/>
    <w:rsid w:val="0063717C"/>
    <w:rsid w:val="00640AAD"/>
    <w:rsid w:val="00641926"/>
    <w:rsid w:val="006672A3"/>
    <w:rsid w:val="006844EF"/>
    <w:rsid w:val="00687D2F"/>
    <w:rsid w:val="006906F3"/>
    <w:rsid w:val="006A1308"/>
    <w:rsid w:val="006A7653"/>
    <w:rsid w:val="006D1751"/>
    <w:rsid w:val="006F0D97"/>
    <w:rsid w:val="00785A0D"/>
    <w:rsid w:val="007A4173"/>
    <w:rsid w:val="007C5119"/>
    <w:rsid w:val="007D510C"/>
    <w:rsid w:val="007F303D"/>
    <w:rsid w:val="00807EB5"/>
    <w:rsid w:val="00811FF7"/>
    <w:rsid w:val="00825CCA"/>
    <w:rsid w:val="00851102"/>
    <w:rsid w:val="00870A78"/>
    <w:rsid w:val="00891CA6"/>
    <w:rsid w:val="008B59BC"/>
    <w:rsid w:val="008C0025"/>
    <w:rsid w:val="008E05D3"/>
    <w:rsid w:val="00936A30"/>
    <w:rsid w:val="00946A1F"/>
    <w:rsid w:val="009554C7"/>
    <w:rsid w:val="009573FA"/>
    <w:rsid w:val="00960CDF"/>
    <w:rsid w:val="00974E7C"/>
    <w:rsid w:val="009A0ED6"/>
    <w:rsid w:val="009C17EB"/>
    <w:rsid w:val="009C7367"/>
    <w:rsid w:val="00A235F5"/>
    <w:rsid w:val="00A252BB"/>
    <w:rsid w:val="00A76AFC"/>
    <w:rsid w:val="00AB5066"/>
    <w:rsid w:val="00AC2E7F"/>
    <w:rsid w:val="00AC46E4"/>
    <w:rsid w:val="00AD7163"/>
    <w:rsid w:val="00AF176F"/>
    <w:rsid w:val="00B00ACA"/>
    <w:rsid w:val="00B023A5"/>
    <w:rsid w:val="00B038D6"/>
    <w:rsid w:val="00B27CFE"/>
    <w:rsid w:val="00B43084"/>
    <w:rsid w:val="00B46BE8"/>
    <w:rsid w:val="00B56C0E"/>
    <w:rsid w:val="00B61378"/>
    <w:rsid w:val="00B756F1"/>
    <w:rsid w:val="00B82226"/>
    <w:rsid w:val="00BA31BB"/>
    <w:rsid w:val="00BC397C"/>
    <w:rsid w:val="00BC74E5"/>
    <w:rsid w:val="00BD474F"/>
    <w:rsid w:val="00BE4F3B"/>
    <w:rsid w:val="00BE731E"/>
    <w:rsid w:val="00C1776C"/>
    <w:rsid w:val="00C25732"/>
    <w:rsid w:val="00C6609E"/>
    <w:rsid w:val="00C7653A"/>
    <w:rsid w:val="00C77B1B"/>
    <w:rsid w:val="00C929A3"/>
    <w:rsid w:val="00CD3021"/>
    <w:rsid w:val="00CE0C90"/>
    <w:rsid w:val="00CE4463"/>
    <w:rsid w:val="00D32778"/>
    <w:rsid w:val="00D5736A"/>
    <w:rsid w:val="00D67BE4"/>
    <w:rsid w:val="00D80DC0"/>
    <w:rsid w:val="00D834DF"/>
    <w:rsid w:val="00D87A12"/>
    <w:rsid w:val="00D95711"/>
    <w:rsid w:val="00DB3EF3"/>
    <w:rsid w:val="00DB4225"/>
    <w:rsid w:val="00E366E3"/>
    <w:rsid w:val="00E45E96"/>
    <w:rsid w:val="00E52B31"/>
    <w:rsid w:val="00E6030E"/>
    <w:rsid w:val="00E66A1B"/>
    <w:rsid w:val="00EB6270"/>
    <w:rsid w:val="00EC0B6A"/>
    <w:rsid w:val="00EC7222"/>
    <w:rsid w:val="00EE1DC4"/>
    <w:rsid w:val="00F26F8B"/>
    <w:rsid w:val="00F446BB"/>
    <w:rsid w:val="00F4693F"/>
    <w:rsid w:val="00F46A6A"/>
    <w:rsid w:val="00F60C6E"/>
    <w:rsid w:val="00F6426A"/>
    <w:rsid w:val="00F64E8D"/>
    <w:rsid w:val="00F73166"/>
    <w:rsid w:val="00F83974"/>
    <w:rsid w:val="00FD073D"/>
    <w:rsid w:val="00FE6842"/>
    <w:rsid w:val="00FF4A6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B816-C224-4508-9082-8857049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firstLine="2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1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025"/>
    <w:pPr>
      <w:ind w:left="720"/>
      <w:contextualSpacing/>
    </w:pPr>
  </w:style>
  <w:style w:type="paragraph" w:styleId="Nessunaspaziatura">
    <w:name w:val="No Spacing"/>
    <w:uiPriority w:val="1"/>
    <w:qFormat/>
    <w:rsid w:val="00B43084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8EB"/>
  </w:style>
  <w:style w:type="paragraph" w:styleId="Pidipagina">
    <w:name w:val="footer"/>
    <w:basedOn w:val="Normale"/>
    <w:link w:val="Pidipagina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65EBCB-1BDA-4C67-A223-C7ABA3E219F2}"/>
</file>

<file path=customXml/itemProps2.xml><?xml version="1.0" encoding="utf-8"?>
<ds:datastoreItem xmlns:ds="http://schemas.openxmlformats.org/officeDocument/2006/customXml" ds:itemID="{21B0BFFD-2953-4AFF-B5A8-7C8412D02A97}"/>
</file>

<file path=customXml/itemProps3.xml><?xml version="1.0" encoding="utf-8"?>
<ds:datastoreItem xmlns:ds="http://schemas.openxmlformats.org/officeDocument/2006/customXml" ds:itemID="{E38AB2CF-AF78-44FE-8885-1B3B27162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Cavani</dc:creator>
  <cp:lastModifiedBy>Adele Meluzzi</cp:lastModifiedBy>
  <cp:revision>2</cp:revision>
  <cp:lastPrinted>2014-08-29T08:31:00Z</cp:lastPrinted>
  <dcterms:created xsi:type="dcterms:W3CDTF">2016-12-21T15:24:00Z</dcterms:created>
  <dcterms:modified xsi:type="dcterms:W3CDTF">2016-12-21T15:24:00Z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